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C1" w:rsidRPr="00863986" w:rsidRDefault="00921FC1" w:rsidP="00B90478">
      <w:pPr>
        <w:jc w:val="center"/>
        <w:rPr>
          <w:rFonts w:asciiTheme="majorBidi" w:hAnsiTheme="majorBidi" w:cstheme="majorBidi"/>
          <w:b/>
          <w:bCs/>
          <w:sz w:val="28"/>
          <w:szCs w:val="28"/>
        </w:rPr>
      </w:pPr>
      <w:bookmarkStart w:id="0" w:name="_GoBack"/>
      <w:bookmarkEnd w:id="0"/>
      <w:r w:rsidRPr="00863986">
        <w:rPr>
          <w:rFonts w:asciiTheme="majorBidi" w:hAnsiTheme="majorBidi" w:cstheme="majorBidi"/>
          <w:b/>
          <w:bCs/>
          <w:noProof/>
          <w:sz w:val="28"/>
          <w:szCs w:val="28"/>
          <w:lang w:eastAsia="fr-FR"/>
        </w:rPr>
        <w:drawing>
          <wp:anchor distT="0" distB="0" distL="114300" distR="114300" simplePos="0" relativeHeight="251661312" behindDoc="0" locked="0" layoutInCell="1" allowOverlap="1">
            <wp:simplePos x="0" y="0"/>
            <wp:positionH relativeFrom="column">
              <wp:posOffset>1000443</wp:posOffset>
            </wp:positionH>
            <wp:positionV relativeFrom="paragraph">
              <wp:posOffset>-485775</wp:posOffset>
            </wp:positionV>
            <wp:extent cx="3619500" cy="1409700"/>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tretch>
                      <a:fillRect/>
                    </a:stretch>
                  </pic:blipFill>
                  <pic:spPr bwMode="auto">
                    <a:xfrm>
                      <a:off x="0" y="0"/>
                      <a:ext cx="3619500" cy="1409700"/>
                    </a:xfrm>
                    <a:prstGeom prst="rect">
                      <a:avLst/>
                    </a:prstGeom>
                    <a:noFill/>
                    <a:ln w="9525">
                      <a:noFill/>
                      <a:miter lim="800000"/>
                      <a:headEnd/>
                      <a:tailEnd/>
                    </a:ln>
                  </pic:spPr>
                </pic:pic>
              </a:graphicData>
            </a:graphic>
          </wp:anchor>
        </w:drawing>
      </w:r>
      <w:r w:rsidRPr="00863986">
        <w:rPr>
          <w:rFonts w:asciiTheme="majorBidi" w:hAnsiTheme="majorBidi" w:cstheme="majorBidi"/>
          <w:b/>
          <w:bCs/>
          <w:noProof/>
          <w:sz w:val="28"/>
          <w:szCs w:val="28"/>
          <w:lang w:eastAsia="fr-FR"/>
        </w:rPr>
        <w:drawing>
          <wp:anchor distT="0" distB="0" distL="114300" distR="114300" simplePos="0" relativeHeight="251659264" behindDoc="0" locked="0" layoutInCell="1" allowOverlap="1">
            <wp:simplePos x="0" y="0"/>
            <wp:positionH relativeFrom="column">
              <wp:posOffset>-947420</wp:posOffset>
            </wp:positionH>
            <wp:positionV relativeFrom="paragraph">
              <wp:posOffset>-571500</wp:posOffset>
            </wp:positionV>
            <wp:extent cx="7524750" cy="1333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524750" cy="133350"/>
                    </a:xfrm>
                    <a:prstGeom prst="rect">
                      <a:avLst/>
                    </a:prstGeom>
                    <a:noFill/>
                    <a:ln w="9525">
                      <a:noFill/>
                      <a:miter lim="800000"/>
                      <a:headEnd/>
                      <a:tailEnd/>
                    </a:ln>
                  </pic:spPr>
                </pic:pic>
              </a:graphicData>
            </a:graphic>
          </wp:anchor>
        </w:drawing>
      </w:r>
    </w:p>
    <w:p w:rsidR="00921FC1" w:rsidRPr="00863986" w:rsidRDefault="00921FC1" w:rsidP="00B90478">
      <w:pPr>
        <w:jc w:val="center"/>
        <w:rPr>
          <w:rFonts w:asciiTheme="majorBidi" w:hAnsiTheme="majorBidi" w:cstheme="majorBidi"/>
          <w:b/>
          <w:bCs/>
          <w:sz w:val="28"/>
          <w:szCs w:val="28"/>
        </w:rPr>
      </w:pPr>
    </w:p>
    <w:p w:rsidR="00921FC1" w:rsidRPr="00863986" w:rsidRDefault="00921FC1" w:rsidP="00B90478">
      <w:pPr>
        <w:jc w:val="center"/>
        <w:rPr>
          <w:rFonts w:asciiTheme="majorBidi" w:hAnsiTheme="majorBidi" w:cstheme="majorBidi"/>
          <w:b/>
          <w:bCs/>
          <w:sz w:val="28"/>
          <w:szCs w:val="28"/>
        </w:rPr>
      </w:pPr>
    </w:p>
    <w:p w:rsidR="00462C37" w:rsidRPr="00863986" w:rsidRDefault="00462C37" w:rsidP="00D67E2A">
      <w:pPr>
        <w:spacing w:after="0"/>
        <w:jc w:val="center"/>
        <w:rPr>
          <w:rFonts w:asciiTheme="majorBidi" w:hAnsiTheme="majorBidi" w:cstheme="majorBidi"/>
          <w:color w:val="000000"/>
        </w:rPr>
      </w:pPr>
    </w:p>
    <w:p w:rsidR="00462C37" w:rsidRPr="00863986" w:rsidRDefault="00462C37" w:rsidP="00D67E2A">
      <w:pPr>
        <w:spacing w:after="0"/>
        <w:jc w:val="center"/>
        <w:rPr>
          <w:rFonts w:asciiTheme="majorBidi" w:hAnsiTheme="majorBidi" w:cstheme="majorBidi"/>
          <w:color w:val="000000"/>
        </w:rPr>
      </w:pPr>
    </w:p>
    <w:p w:rsidR="009D67A9" w:rsidRPr="00863986" w:rsidRDefault="00D67E2A" w:rsidP="00D67E2A">
      <w:pPr>
        <w:spacing w:after="0"/>
        <w:jc w:val="center"/>
        <w:rPr>
          <w:rFonts w:asciiTheme="majorBidi" w:hAnsiTheme="majorBidi" w:cstheme="majorBidi"/>
          <w:b/>
          <w:bCs/>
          <w:color w:val="000000"/>
          <w:sz w:val="24"/>
          <w:szCs w:val="24"/>
        </w:rPr>
      </w:pPr>
      <w:r w:rsidRPr="00863986">
        <w:rPr>
          <w:rFonts w:asciiTheme="majorBidi" w:hAnsiTheme="majorBidi" w:cstheme="majorBidi"/>
          <w:b/>
          <w:bCs/>
          <w:color w:val="000000"/>
          <w:sz w:val="24"/>
          <w:szCs w:val="24"/>
        </w:rPr>
        <w:t>Assistance technique pour la mise en place et la réalisation d’un plan</w:t>
      </w:r>
    </w:p>
    <w:p w:rsidR="00D67E2A" w:rsidRPr="00863986" w:rsidRDefault="00D67E2A" w:rsidP="009D67A9">
      <w:pPr>
        <w:spacing w:after="0"/>
        <w:jc w:val="center"/>
        <w:rPr>
          <w:rFonts w:asciiTheme="majorBidi" w:hAnsiTheme="majorBidi" w:cstheme="majorBidi"/>
          <w:b/>
          <w:bCs/>
          <w:color w:val="000000"/>
          <w:sz w:val="24"/>
          <w:szCs w:val="24"/>
        </w:rPr>
      </w:pPr>
      <w:r w:rsidRPr="00863986">
        <w:rPr>
          <w:rFonts w:asciiTheme="majorBidi" w:hAnsiTheme="majorBidi" w:cstheme="majorBidi"/>
          <w:b/>
          <w:bCs/>
          <w:color w:val="000000"/>
          <w:sz w:val="24"/>
          <w:szCs w:val="24"/>
        </w:rPr>
        <w:t xml:space="preserve"> de communication et plaidoyer auprès des acteurs territoriaux pour </w:t>
      </w:r>
    </w:p>
    <w:p w:rsidR="00D67E2A" w:rsidRPr="00863986" w:rsidRDefault="009D67A9" w:rsidP="00D67E2A">
      <w:pPr>
        <w:spacing w:after="0"/>
        <w:jc w:val="center"/>
        <w:rPr>
          <w:rFonts w:asciiTheme="majorBidi" w:hAnsiTheme="majorBidi" w:cstheme="majorBidi"/>
          <w:b/>
          <w:bCs/>
          <w:sz w:val="28"/>
          <w:szCs w:val="28"/>
        </w:rPr>
      </w:pPr>
      <w:r w:rsidRPr="00863986">
        <w:rPr>
          <w:rFonts w:asciiTheme="majorBidi" w:hAnsiTheme="majorBidi" w:cstheme="majorBidi"/>
          <w:b/>
          <w:bCs/>
          <w:color w:val="000000"/>
          <w:sz w:val="24"/>
          <w:szCs w:val="24"/>
        </w:rPr>
        <w:t>Le droit</w:t>
      </w:r>
      <w:r w:rsidR="00D67E2A" w:rsidRPr="00863986">
        <w:rPr>
          <w:rFonts w:asciiTheme="majorBidi" w:hAnsiTheme="majorBidi" w:cstheme="majorBidi"/>
          <w:b/>
          <w:bCs/>
          <w:color w:val="000000"/>
          <w:sz w:val="24"/>
          <w:szCs w:val="24"/>
        </w:rPr>
        <w:t xml:space="preserve"> à l’inclusion socio-économique des jeunes</w:t>
      </w:r>
      <w:r w:rsidR="00ED267B">
        <w:rPr>
          <w:rFonts w:asciiTheme="majorBidi" w:hAnsiTheme="majorBidi" w:cstheme="majorBidi"/>
          <w:b/>
          <w:bCs/>
          <w:color w:val="000000"/>
          <w:sz w:val="24"/>
          <w:szCs w:val="24"/>
        </w:rPr>
        <w:t xml:space="preserve"> via l’éducation</w:t>
      </w:r>
      <w:r w:rsidR="00D67E2A" w:rsidRPr="00863986">
        <w:rPr>
          <w:rFonts w:asciiTheme="majorBidi" w:hAnsiTheme="majorBidi" w:cstheme="majorBidi"/>
          <w:color w:val="000000"/>
          <w:sz w:val="24"/>
          <w:szCs w:val="24"/>
        </w:rPr>
        <w:t xml:space="preserve"> </w:t>
      </w:r>
    </w:p>
    <w:p w:rsidR="00462C37" w:rsidRPr="00863986" w:rsidRDefault="00462C37" w:rsidP="00B90478">
      <w:pPr>
        <w:spacing w:after="0"/>
        <w:jc w:val="center"/>
        <w:rPr>
          <w:rFonts w:asciiTheme="majorBidi" w:hAnsiTheme="majorBidi" w:cstheme="majorBidi"/>
          <w:b/>
          <w:bCs/>
          <w:sz w:val="28"/>
          <w:szCs w:val="28"/>
        </w:rPr>
      </w:pPr>
    </w:p>
    <w:p w:rsidR="00B90478" w:rsidRPr="00863986" w:rsidRDefault="00D67E2A" w:rsidP="00B90478">
      <w:pPr>
        <w:spacing w:after="0"/>
        <w:jc w:val="center"/>
        <w:rPr>
          <w:rFonts w:asciiTheme="majorBidi" w:hAnsiTheme="majorBidi" w:cstheme="majorBidi"/>
          <w:b/>
          <w:bCs/>
          <w:sz w:val="28"/>
          <w:szCs w:val="28"/>
        </w:rPr>
      </w:pPr>
      <w:r w:rsidRPr="00863986">
        <w:rPr>
          <w:rFonts w:asciiTheme="majorBidi" w:hAnsiTheme="majorBidi" w:cstheme="majorBidi"/>
          <w:b/>
          <w:bCs/>
          <w:sz w:val="28"/>
          <w:szCs w:val="28"/>
        </w:rPr>
        <w:t>Termes de référence</w:t>
      </w:r>
    </w:p>
    <w:p w:rsidR="00462C37" w:rsidRPr="00863986" w:rsidRDefault="00462C37" w:rsidP="00B90478">
      <w:pPr>
        <w:spacing w:after="0"/>
        <w:jc w:val="center"/>
        <w:rPr>
          <w:rFonts w:asciiTheme="majorBidi" w:hAnsiTheme="majorBidi" w:cstheme="majorBidi"/>
          <w:b/>
          <w:bCs/>
          <w:sz w:val="28"/>
          <w:szCs w:val="28"/>
        </w:rPr>
      </w:pPr>
    </w:p>
    <w:p w:rsidR="00B90478" w:rsidRPr="00863986" w:rsidRDefault="00B90478" w:rsidP="00B90478">
      <w:pPr>
        <w:spacing w:after="0"/>
        <w:jc w:val="center"/>
        <w:rPr>
          <w:rFonts w:asciiTheme="majorBidi" w:hAnsiTheme="majorBidi" w:cstheme="majorBidi"/>
          <w:b/>
          <w:bCs/>
          <w:sz w:val="28"/>
          <w:szCs w:val="28"/>
        </w:rPr>
      </w:pPr>
    </w:p>
    <w:p w:rsidR="00B90478" w:rsidRPr="00863986" w:rsidRDefault="00B90478" w:rsidP="00B90478">
      <w:pPr>
        <w:pStyle w:val="Paragraphedeliste"/>
        <w:numPr>
          <w:ilvl w:val="0"/>
          <w:numId w:val="6"/>
        </w:numPr>
        <w:rPr>
          <w:rFonts w:asciiTheme="majorBidi" w:hAnsiTheme="majorBidi" w:cstheme="majorBidi"/>
          <w:b/>
        </w:rPr>
      </w:pPr>
      <w:r w:rsidRPr="00863986">
        <w:rPr>
          <w:rFonts w:asciiTheme="majorBidi" w:hAnsiTheme="majorBidi" w:cstheme="majorBidi"/>
          <w:b/>
        </w:rPr>
        <w:t>CONTEXTE</w:t>
      </w:r>
    </w:p>
    <w:p w:rsidR="00B90478" w:rsidRPr="00863986" w:rsidRDefault="00B90478" w:rsidP="009D67A9">
      <w:pPr>
        <w:spacing w:line="360" w:lineRule="auto"/>
        <w:ind w:right="1"/>
        <w:jc w:val="both"/>
        <w:rPr>
          <w:rFonts w:asciiTheme="majorBidi" w:hAnsiTheme="majorBidi" w:cstheme="majorBidi"/>
        </w:rPr>
      </w:pPr>
      <w:r w:rsidRPr="00863986">
        <w:rPr>
          <w:rFonts w:asciiTheme="majorBidi" w:hAnsiTheme="majorBidi" w:cstheme="majorBidi"/>
        </w:rPr>
        <w:t xml:space="preserve">Dans </w:t>
      </w:r>
      <w:r w:rsidR="00813E40" w:rsidRPr="00863986">
        <w:rPr>
          <w:rFonts w:asciiTheme="majorBidi" w:hAnsiTheme="majorBidi" w:cstheme="majorBidi"/>
        </w:rPr>
        <w:t>l’</w:t>
      </w:r>
      <w:r w:rsidRPr="00863986">
        <w:rPr>
          <w:rFonts w:asciiTheme="majorBidi" w:hAnsiTheme="majorBidi" w:cstheme="majorBidi"/>
        </w:rPr>
        <w:t>objectif d</w:t>
      </w:r>
      <w:r w:rsidR="00813E40" w:rsidRPr="00863986">
        <w:rPr>
          <w:rFonts w:asciiTheme="majorBidi" w:hAnsiTheme="majorBidi" w:cstheme="majorBidi"/>
        </w:rPr>
        <w:t>’</w:t>
      </w:r>
      <w:r w:rsidRPr="00863986">
        <w:rPr>
          <w:rFonts w:asciiTheme="majorBidi" w:hAnsiTheme="majorBidi" w:cstheme="majorBidi"/>
        </w:rPr>
        <w:t>assurer une inclusion socio-économique des jeunes, notamment ceux qui n</w:t>
      </w:r>
      <w:r w:rsidR="00813E40" w:rsidRPr="00863986">
        <w:rPr>
          <w:rFonts w:asciiTheme="majorBidi" w:hAnsiTheme="majorBidi" w:cstheme="majorBidi"/>
        </w:rPr>
        <w:t>’</w:t>
      </w:r>
      <w:r w:rsidRPr="00863986">
        <w:rPr>
          <w:rFonts w:asciiTheme="majorBidi" w:hAnsiTheme="majorBidi" w:cstheme="majorBidi"/>
        </w:rPr>
        <w:t>ont pas eu la chance d</w:t>
      </w:r>
      <w:r w:rsidR="00813E40" w:rsidRPr="00863986">
        <w:rPr>
          <w:rFonts w:asciiTheme="majorBidi" w:hAnsiTheme="majorBidi" w:cstheme="majorBidi"/>
        </w:rPr>
        <w:t>’</w:t>
      </w:r>
      <w:r w:rsidRPr="00863986">
        <w:rPr>
          <w:rFonts w:asciiTheme="majorBidi" w:hAnsiTheme="majorBidi" w:cstheme="majorBidi"/>
        </w:rPr>
        <w:t>être scolarisés ou ont abandonné l</w:t>
      </w:r>
      <w:r w:rsidR="00813E40" w:rsidRPr="00863986">
        <w:rPr>
          <w:rFonts w:asciiTheme="majorBidi" w:hAnsiTheme="majorBidi" w:cstheme="majorBidi"/>
        </w:rPr>
        <w:t>’</w:t>
      </w:r>
      <w:r w:rsidRPr="00863986">
        <w:rPr>
          <w:rFonts w:asciiTheme="majorBidi" w:hAnsiTheme="majorBidi" w:cstheme="majorBidi"/>
        </w:rPr>
        <w:t>école précocement, les différents dé</w:t>
      </w:r>
      <w:r w:rsidR="00813E40" w:rsidRPr="00863986">
        <w:rPr>
          <w:rFonts w:asciiTheme="majorBidi" w:hAnsiTheme="majorBidi" w:cstheme="majorBidi"/>
        </w:rPr>
        <w:t xml:space="preserve">partements </w:t>
      </w:r>
      <w:r w:rsidRPr="00863986">
        <w:rPr>
          <w:rFonts w:asciiTheme="majorBidi" w:hAnsiTheme="majorBidi" w:cstheme="majorBidi"/>
        </w:rPr>
        <w:t>étatiques ont élaboré des stratégies d</w:t>
      </w:r>
      <w:r w:rsidR="00813E40" w:rsidRPr="00863986">
        <w:rPr>
          <w:rFonts w:asciiTheme="majorBidi" w:hAnsiTheme="majorBidi" w:cstheme="majorBidi"/>
        </w:rPr>
        <w:t>’</w:t>
      </w:r>
      <w:r w:rsidRPr="00863986">
        <w:rPr>
          <w:rFonts w:asciiTheme="majorBidi" w:hAnsiTheme="majorBidi" w:cstheme="majorBidi"/>
        </w:rPr>
        <w:t xml:space="preserve">insertion socio-économique. Nous citerons notamment, dans ce contexte, la vision 2015-2030 </w:t>
      </w:r>
      <w:r w:rsidR="009D67A9" w:rsidRPr="00863986">
        <w:rPr>
          <w:rFonts w:asciiTheme="majorBidi" w:hAnsiTheme="majorBidi" w:cstheme="majorBidi"/>
        </w:rPr>
        <w:t>prévoit dans le levier 5 « garantie aux apprenants d’un apprentissage continu et durable et de la construction du projet personnel et d’insertion » où figure l’éducation non formelle et la formation professionnelle</w:t>
      </w:r>
      <w:r w:rsidRPr="00863986">
        <w:rPr>
          <w:rFonts w:asciiTheme="majorBidi" w:hAnsiTheme="majorBidi" w:cstheme="majorBidi"/>
        </w:rPr>
        <w:t>.</w:t>
      </w:r>
    </w:p>
    <w:p w:rsidR="00B90478" w:rsidRPr="00863986" w:rsidRDefault="00B90478" w:rsidP="00B90478">
      <w:pPr>
        <w:spacing w:line="360" w:lineRule="auto"/>
        <w:ind w:right="1"/>
        <w:jc w:val="both"/>
        <w:rPr>
          <w:rFonts w:asciiTheme="majorBidi" w:hAnsiTheme="majorBidi" w:cstheme="majorBidi"/>
        </w:rPr>
      </w:pPr>
      <w:r w:rsidRPr="00863986">
        <w:rPr>
          <w:rFonts w:asciiTheme="majorBidi" w:hAnsiTheme="majorBidi" w:cstheme="majorBidi"/>
        </w:rPr>
        <w:t>Aujourd</w:t>
      </w:r>
      <w:r w:rsidR="00813E40" w:rsidRPr="00863986">
        <w:rPr>
          <w:rFonts w:asciiTheme="majorBidi" w:hAnsiTheme="majorBidi" w:cstheme="majorBidi"/>
        </w:rPr>
        <w:t>’</w:t>
      </w:r>
      <w:r w:rsidRPr="00863986">
        <w:rPr>
          <w:rFonts w:asciiTheme="majorBidi" w:hAnsiTheme="majorBidi" w:cstheme="majorBidi"/>
        </w:rPr>
        <w:t>hui, dans la perspective de la déclinaison de la Vision stratégique 2015-2030 un projet intégré est dédié</w:t>
      </w:r>
      <w:r w:rsidR="00462C37" w:rsidRPr="00863986">
        <w:rPr>
          <w:rFonts w:asciiTheme="majorBidi" w:hAnsiTheme="majorBidi" w:cstheme="majorBidi"/>
        </w:rPr>
        <w:t xml:space="preserve"> </w:t>
      </w:r>
      <w:r w:rsidRPr="00863986">
        <w:rPr>
          <w:rFonts w:asciiTheme="majorBidi" w:hAnsiTheme="majorBidi" w:cstheme="majorBidi"/>
        </w:rPr>
        <w:t>à l</w:t>
      </w:r>
      <w:r w:rsidR="00813E40" w:rsidRPr="00863986">
        <w:rPr>
          <w:rFonts w:asciiTheme="majorBidi" w:hAnsiTheme="majorBidi" w:cstheme="majorBidi"/>
        </w:rPr>
        <w:t>’</w:t>
      </w:r>
      <w:r w:rsidRPr="00863986">
        <w:rPr>
          <w:rFonts w:asciiTheme="majorBidi" w:hAnsiTheme="majorBidi" w:cstheme="majorBidi"/>
        </w:rPr>
        <w:t>éducation non formelle, en l</w:t>
      </w:r>
      <w:r w:rsidR="00813E40" w:rsidRPr="00863986">
        <w:rPr>
          <w:rFonts w:asciiTheme="majorBidi" w:hAnsiTheme="majorBidi" w:cstheme="majorBidi"/>
        </w:rPr>
        <w:t>’</w:t>
      </w:r>
      <w:r w:rsidRPr="00863986">
        <w:rPr>
          <w:rFonts w:asciiTheme="majorBidi" w:hAnsiTheme="majorBidi" w:cstheme="majorBidi"/>
        </w:rPr>
        <w:t>occurrence le projet intégré 4 « garantir le rattrapage scolaire pour tous les enfants et rehausser l</w:t>
      </w:r>
      <w:r w:rsidR="00813E40" w:rsidRPr="00863986">
        <w:rPr>
          <w:rFonts w:asciiTheme="majorBidi" w:hAnsiTheme="majorBidi" w:cstheme="majorBidi"/>
        </w:rPr>
        <w:t>’</w:t>
      </w:r>
      <w:r w:rsidRPr="00863986">
        <w:rPr>
          <w:rFonts w:asciiTheme="majorBidi" w:hAnsiTheme="majorBidi" w:cstheme="majorBidi"/>
        </w:rPr>
        <w:t>efficacité de l</w:t>
      </w:r>
      <w:r w:rsidR="00813E40" w:rsidRPr="00863986">
        <w:rPr>
          <w:rFonts w:asciiTheme="majorBidi" w:hAnsiTheme="majorBidi" w:cstheme="majorBidi"/>
        </w:rPr>
        <w:t>’</w:t>
      </w:r>
      <w:r w:rsidRPr="00863986">
        <w:rPr>
          <w:rFonts w:asciiTheme="majorBidi" w:hAnsiTheme="majorBidi" w:cstheme="majorBidi"/>
        </w:rPr>
        <w:t>ENF ».</w:t>
      </w:r>
    </w:p>
    <w:p w:rsidR="00B90478" w:rsidRDefault="00B90478" w:rsidP="009D67A9">
      <w:pPr>
        <w:spacing w:line="360" w:lineRule="auto"/>
        <w:ind w:right="1"/>
        <w:jc w:val="both"/>
        <w:rPr>
          <w:rFonts w:asciiTheme="majorBidi" w:hAnsiTheme="majorBidi" w:cstheme="majorBidi"/>
        </w:rPr>
      </w:pPr>
      <w:r w:rsidRPr="00863986">
        <w:rPr>
          <w:rFonts w:asciiTheme="majorBidi" w:hAnsiTheme="majorBidi" w:cstheme="majorBidi"/>
        </w:rPr>
        <w:t>L</w:t>
      </w:r>
      <w:r w:rsidR="00813E40" w:rsidRPr="00863986">
        <w:rPr>
          <w:rFonts w:asciiTheme="majorBidi" w:hAnsiTheme="majorBidi" w:cstheme="majorBidi"/>
        </w:rPr>
        <w:t>’</w:t>
      </w:r>
      <w:r w:rsidRPr="00863986">
        <w:rPr>
          <w:rFonts w:asciiTheme="majorBidi" w:hAnsiTheme="majorBidi" w:cstheme="majorBidi"/>
        </w:rPr>
        <w:t>é</w:t>
      </w:r>
      <w:r w:rsidR="009D67A9" w:rsidRPr="00863986">
        <w:rPr>
          <w:rFonts w:asciiTheme="majorBidi" w:hAnsiTheme="majorBidi" w:cstheme="majorBidi"/>
        </w:rPr>
        <w:t>ducation non formelle est une offre</w:t>
      </w:r>
      <w:r w:rsidRPr="00863986">
        <w:rPr>
          <w:rFonts w:asciiTheme="majorBidi" w:hAnsiTheme="majorBidi" w:cstheme="majorBidi"/>
        </w:rPr>
        <w:t xml:space="preserve"> éducative souple, fonctionnelle, à l</w:t>
      </w:r>
      <w:r w:rsidR="00813E40" w:rsidRPr="00863986">
        <w:rPr>
          <w:rFonts w:asciiTheme="majorBidi" w:hAnsiTheme="majorBidi" w:cstheme="majorBidi"/>
        </w:rPr>
        <w:t>’</w:t>
      </w:r>
      <w:r w:rsidRPr="00863986">
        <w:rPr>
          <w:rFonts w:asciiTheme="majorBidi" w:hAnsiTheme="majorBidi" w:cstheme="majorBidi"/>
        </w:rPr>
        <w:t>écoute de son environnement social et des attentes et évolution des profils et des besoins de son public cible. C</w:t>
      </w:r>
      <w:r w:rsidR="00813E40" w:rsidRPr="00863986">
        <w:rPr>
          <w:rFonts w:asciiTheme="majorBidi" w:hAnsiTheme="majorBidi" w:cstheme="majorBidi"/>
        </w:rPr>
        <w:t>’</w:t>
      </w:r>
      <w:r w:rsidRPr="00863986">
        <w:rPr>
          <w:rFonts w:asciiTheme="majorBidi" w:hAnsiTheme="majorBidi" w:cstheme="majorBidi"/>
        </w:rPr>
        <w:t xml:space="preserve">est dans ce sens que ses programmes évoluent et connaissant des innovations périodiques. </w:t>
      </w:r>
    </w:p>
    <w:p w:rsidR="00863986" w:rsidRPr="00863986" w:rsidRDefault="00863986" w:rsidP="00863986">
      <w:pPr>
        <w:spacing w:line="360" w:lineRule="auto"/>
        <w:ind w:right="1"/>
        <w:jc w:val="both"/>
        <w:rPr>
          <w:rFonts w:asciiTheme="majorBidi" w:hAnsiTheme="majorBidi" w:cstheme="majorBidi"/>
        </w:rPr>
      </w:pPr>
      <w:r w:rsidRPr="00863986">
        <w:rPr>
          <w:rFonts w:asciiTheme="majorBidi" w:hAnsiTheme="majorBidi" w:cstheme="majorBidi"/>
        </w:rPr>
        <w:t>La vision stratégique 2015-2030, avec ses orientations visant à coupler l’enseignement général avec la formation professionnelle, et son levier 5 recommandant la «garantie aux apprenants d’un apprentissage continu et durable et de la construction du projet personnel et d’insertion », répondent à l’évolution du contexte et des caractéristiques du public cible de l’ENF, ses besoins et attentes.</w:t>
      </w:r>
    </w:p>
    <w:p w:rsidR="00863986" w:rsidRPr="00863986" w:rsidRDefault="00863986" w:rsidP="00863986">
      <w:pPr>
        <w:spacing w:line="360" w:lineRule="auto"/>
        <w:ind w:right="1"/>
        <w:jc w:val="both"/>
        <w:rPr>
          <w:rFonts w:asciiTheme="majorBidi" w:hAnsiTheme="majorBidi" w:cstheme="majorBidi"/>
        </w:rPr>
      </w:pPr>
      <w:r w:rsidRPr="00863986">
        <w:rPr>
          <w:rFonts w:asciiTheme="majorBidi" w:hAnsiTheme="majorBidi" w:cstheme="majorBidi"/>
        </w:rPr>
        <w:t>Cette évolution est dictée notamment par :</w:t>
      </w:r>
    </w:p>
    <w:p w:rsidR="00863986" w:rsidRPr="00863986" w:rsidRDefault="00863986" w:rsidP="00863986">
      <w:pPr>
        <w:pStyle w:val="Paragraphedeliste"/>
        <w:numPr>
          <w:ilvl w:val="0"/>
          <w:numId w:val="2"/>
        </w:numPr>
        <w:spacing w:before="120" w:after="120" w:line="360" w:lineRule="auto"/>
        <w:ind w:right="1"/>
        <w:jc w:val="both"/>
        <w:rPr>
          <w:rFonts w:asciiTheme="majorBidi" w:hAnsiTheme="majorBidi" w:cstheme="majorBidi"/>
        </w:rPr>
      </w:pPr>
      <w:r w:rsidRPr="00863986">
        <w:rPr>
          <w:rFonts w:asciiTheme="majorBidi" w:hAnsiTheme="majorBidi" w:cstheme="majorBidi"/>
        </w:rPr>
        <w:t>L’évolution des profils démographiques et des besoins du public cible de l’éducation non formelle qui se caractérise actuellement par :</w:t>
      </w:r>
    </w:p>
    <w:p w:rsidR="00863986" w:rsidRPr="00863986" w:rsidRDefault="00863986" w:rsidP="00863986">
      <w:pPr>
        <w:pStyle w:val="Paragraphedeliste"/>
        <w:numPr>
          <w:ilvl w:val="1"/>
          <w:numId w:val="2"/>
        </w:numPr>
        <w:spacing w:before="120" w:after="120" w:line="360" w:lineRule="auto"/>
        <w:ind w:right="1"/>
        <w:jc w:val="both"/>
        <w:rPr>
          <w:rFonts w:asciiTheme="majorBidi" w:hAnsiTheme="majorBidi" w:cstheme="majorBidi"/>
        </w:rPr>
      </w:pPr>
      <w:r w:rsidRPr="00863986">
        <w:rPr>
          <w:rFonts w:asciiTheme="majorBidi" w:hAnsiTheme="majorBidi" w:cstheme="majorBidi"/>
        </w:rPr>
        <w:t>la prédominance de la tranche d’âge 13-20 ans ;</w:t>
      </w:r>
    </w:p>
    <w:p w:rsidR="00863986" w:rsidRPr="00863986" w:rsidRDefault="00863986" w:rsidP="00863986">
      <w:pPr>
        <w:pStyle w:val="Paragraphedeliste"/>
        <w:numPr>
          <w:ilvl w:val="1"/>
          <w:numId w:val="2"/>
        </w:numPr>
        <w:spacing w:before="120" w:after="120" w:line="360" w:lineRule="auto"/>
        <w:ind w:right="1"/>
        <w:jc w:val="both"/>
        <w:rPr>
          <w:rFonts w:asciiTheme="majorBidi" w:hAnsiTheme="majorBidi" w:cstheme="majorBidi"/>
        </w:rPr>
      </w:pPr>
      <w:r w:rsidRPr="00863986">
        <w:rPr>
          <w:rFonts w:asciiTheme="majorBidi" w:hAnsiTheme="majorBidi" w:cstheme="majorBidi"/>
        </w:rPr>
        <w:lastRenderedPageBreak/>
        <w:t xml:space="preserve"> la tendance des attentes des bénéficiaires vers la recherche de l’insertion dans la formation, l’initiation aux métiers et l’intégration socioprofessionnelle ;</w:t>
      </w:r>
    </w:p>
    <w:p w:rsidR="00863986" w:rsidRPr="00863986" w:rsidRDefault="00863986" w:rsidP="00863986">
      <w:pPr>
        <w:pStyle w:val="Paragraphedeliste"/>
        <w:numPr>
          <w:ilvl w:val="0"/>
          <w:numId w:val="2"/>
        </w:numPr>
        <w:spacing w:before="120" w:after="120" w:line="360" w:lineRule="auto"/>
        <w:ind w:right="1"/>
        <w:jc w:val="both"/>
        <w:rPr>
          <w:rFonts w:asciiTheme="majorBidi" w:hAnsiTheme="majorBidi" w:cstheme="majorBidi"/>
        </w:rPr>
      </w:pPr>
      <w:r w:rsidRPr="00863986">
        <w:rPr>
          <w:rFonts w:asciiTheme="majorBidi" w:hAnsiTheme="majorBidi" w:cstheme="majorBidi"/>
        </w:rPr>
        <w:t>Le chômage des jeunes ;</w:t>
      </w:r>
    </w:p>
    <w:p w:rsidR="00863986" w:rsidRPr="00863986" w:rsidRDefault="00863986" w:rsidP="00863986">
      <w:pPr>
        <w:pStyle w:val="Paragraphedeliste"/>
        <w:numPr>
          <w:ilvl w:val="0"/>
          <w:numId w:val="2"/>
        </w:numPr>
        <w:spacing w:before="120" w:after="120" w:line="360" w:lineRule="auto"/>
        <w:ind w:right="1"/>
        <w:jc w:val="both"/>
        <w:rPr>
          <w:rFonts w:asciiTheme="majorBidi" w:hAnsiTheme="majorBidi" w:cstheme="majorBidi"/>
        </w:rPr>
      </w:pPr>
      <w:r w:rsidRPr="00863986">
        <w:rPr>
          <w:rFonts w:asciiTheme="majorBidi" w:hAnsiTheme="majorBidi" w:cstheme="majorBidi"/>
        </w:rPr>
        <w:t>La persistance de l’abandon scolaire.</w:t>
      </w:r>
    </w:p>
    <w:p w:rsidR="00863986" w:rsidRPr="00863986" w:rsidRDefault="00863986" w:rsidP="00863986">
      <w:pPr>
        <w:spacing w:line="360" w:lineRule="auto"/>
        <w:ind w:right="1"/>
        <w:jc w:val="both"/>
        <w:rPr>
          <w:rFonts w:asciiTheme="majorBidi" w:hAnsiTheme="majorBidi" w:cstheme="majorBidi"/>
        </w:rPr>
      </w:pPr>
      <w:r w:rsidRPr="00863986">
        <w:rPr>
          <w:rFonts w:asciiTheme="majorBidi" w:hAnsiTheme="majorBidi" w:cstheme="majorBidi"/>
        </w:rPr>
        <w:t>Pour réussir le couplage de l’enseignement général avec la formation professionnelle dans la perspective d’assurer aux jeunes non scolarisés ou déscolarisés des opportunités d’insertion socioprofessionnelle, de renforcer leur employabilité et pour garantir un ancrage réel  des programmes de l’ENF aussi bien au niveau régional, provincial et communal, l’appui des acteurs territoriaux à l’ENF devient un axe primordial et vital qui peut aussi garantir la pérennisation des actions entreprises.</w:t>
      </w:r>
    </w:p>
    <w:p w:rsidR="00B90478" w:rsidRPr="00863986" w:rsidRDefault="00863986" w:rsidP="00863986">
      <w:pPr>
        <w:spacing w:line="360" w:lineRule="auto"/>
        <w:ind w:right="1"/>
        <w:jc w:val="both"/>
        <w:rPr>
          <w:rFonts w:asciiTheme="majorBidi" w:hAnsiTheme="majorBidi" w:cstheme="majorBidi"/>
        </w:rPr>
      </w:pPr>
      <w:r>
        <w:rPr>
          <w:rFonts w:asciiTheme="majorBidi" w:hAnsiTheme="majorBidi" w:cstheme="majorBidi"/>
        </w:rPr>
        <w:t>L</w:t>
      </w:r>
      <w:r w:rsidR="00813E40" w:rsidRPr="00863986">
        <w:rPr>
          <w:rFonts w:asciiTheme="majorBidi" w:hAnsiTheme="majorBidi" w:cstheme="majorBidi"/>
        </w:rPr>
        <w:t>’</w:t>
      </w:r>
      <w:r w:rsidR="00B90478" w:rsidRPr="00863986">
        <w:rPr>
          <w:rFonts w:asciiTheme="majorBidi" w:hAnsiTheme="majorBidi" w:cstheme="majorBidi"/>
        </w:rPr>
        <w:t>une des voies adoptées par le Ministère pour concrétiser ce couplage est la mise en œuvre de l</w:t>
      </w:r>
      <w:r w:rsidR="00813E40" w:rsidRPr="00863986">
        <w:rPr>
          <w:rFonts w:asciiTheme="majorBidi" w:hAnsiTheme="majorBidi" w:cstheme="majorBidi"/>
        </w:rPr>
        <w:t>’</w:t>
      </w:r>
      <w:r w:rsidR="00B90478" w:rsidRPr="00863986">
        <w:rPr>
          <w:rFonts w:asciiTheme="majorBidi" w:hAnsiTheme="majorBidi" w:cstheme="majorBidi"/>
        </w:rPr>
        <w:t>E2C-NG via la mise en place des centres E2C-NG dans les AREF et DP et l’appui aux associations disposant de leurs propres centres.</w:t>
      </w:r>
    </w:p>
    <w:p w:rsidR="00B90478" w:rsidRPr="00863986" w:rsidRDefault="00B90478" w:rsidP="00B90478">
      <w:pPr>
        <w:spacing w:line="360" w:lineRule="auto"/>
        <w:ind w:right="1"/>
        <w:jc w:val="both"/>
        <w:rPr>
          <w:rFonts w:asciiTheme="majorBidi" w:hAnsiTheme="majorBidi" w:cstheme="majorBidi"/>
        </w:rPr>
      </w:pPr>
      <w:r w:rsidRPr="00863986">
        <w:rPr>
          <w:rFonts w:asciiTheme="majorBidi" w:hAnsiTheme="majorBidi" w:cstheme="majorBidi"/>
        </w:rPr>
        <w:t>Un centre E2C-NG se caractérise par les trois traits suivants :</w:t>
      </w:r>
    </w:p>
    <w:p w:rsidR="00B90478" w:rsidRPr="00863986" w:rsidRDefault="00B90478" w:rsidP="00863986">
      <w:pPr>
        <w:pStyle w:val="Paragraphedeliste"/>
        <w:numPr>
          <w:ilvl w:val="0"/>
          <w:numId w:val="1"/>
        </w:numPr>
        <w:spacing w:line="360" w:lineRule="auto"/>
        <w:ind w:left="567" w:right="1"/>
        <w:jc w:val="both"/>
        <w:rPr>
          <w:rFonts w:asciiTheme="majorBidi" w:hAnsiTheme="majorBidi" w:cstheme="majorBidi"/>
        </w:rPr>
      </w:pPr>
      <w:r w:rsidRPr="00863986">
        <w:rPr>
          <w:rFonts w:asciiTheme="majorBidi" w:hAnsiTheme="majorBidi" w:cstheme="majorBidi"/>
        </w:rPr>
        <w:t>Fonctionnent sur la base d</w:t>
      </w:r>
      <w:r w:rsidR="00813E40" w:rsidRPr="00863986">
        <w:rPr>
          <w:rFonts w:asciiTheme="majorBidi" w:hAnsiTheme="majorBidi" w:cstheme="majorBidi"/>
        </w:rPr>
        <w:t>’</w:t>
      </w:r>
      <w:r w:rsidRPr="00863986">
        <w:rPr>
          <w:rFonts w:asciiTheme="majorBidi" w:hAnsiTheme="majorBidi" w:cstheme="majorBidi"/>
        </w:rPr>
        <w:t>une synergie entre plusieurs partenaires (ONG, Départements ministériels, Opérateurs économiques…) ; qui suppose la répartition des charges entre les différents partenaires ;</w:t>
      </w:r>
    </w:p>
    <w:p w:rsidR="00B90478" w:rsidRPr="00863986" w:rsidRDefault="00B90478" w:rsidP="00863986">
      <w:pPr>
        <w:pStyle w:val="Paragraphedeliste"/>
        <w:numPr>
          <w:ilvl w:val="0"/>
          <w:numId w:val="1"/>
        </w:numPr>
        <w:spacing w:line="360" w:lineRule="auto"/>
        <w:ind w:left="567" w:right="1"/>
        <w:jc w:val="both"/>
        <w:rPr>
          <w:rFonts w:asciiTheme="majorBidi" w:hAnsiTheme="majorBidi" w:cstheme="majorBidi"/>
        </w:rPr>
      </w:pPr>
      <w:r w:rsidRPr="00863986">
        <w:rPr>
          <w:rFonts w:asciiTheme="majorBidi" w:hAnsiTheme="majorBidi" w:cstheme="majorBidi"/>
        </w:rPr>
        <w:t xml:space="preserve">La gestion et la mise en œuvre des programmes sont assurées par une ONG via un partenariat ; </w:t>
      </w:r>
    </w:p>
    <w:p w:rsidR="00B90478" w:rsidRPr="00863986" w:rsidRDefault="00B90478" w:rsidP="00863986">
      <w:pPr>
        <w:pStyle w:val="Paragraphedeliste"/>
        <w:numPr>
          <w:ilvl w:val="0"/>
          <w:numId w:val="1"/>
        </w:numPr>
        <w:spacing w:line="360" w:lineRule="auto"/>
        <w:ind w:left="567" w:right="1"/>
        <w:jc w:val="both"/>
        <w:rPr>
          <w:rFonts w:asciiTheme="majorBidi" w:hAnsiTheme="majorBidi" w:cstheme="majorBidi"/>
        </w:rPr>
      </w:pPr>
      <w:r w:rsidRPr="00863986">
        <w:rPr>
          <w:rFonts w:asciiTheme="majorBidi" w:hAnsiTheme="majorBidi" w:cstheme="majorBidi"/>
        </w:rPr>
        <w:t>Les programmes d'éducation – formation adoptent des approches non formelles basées sur les principes de proximité, de souplesse, et d'adaptation aux conditions des bénéficiaires.</w:t>
      </w:r>
    </w:p>
    <w:p w:rsidR="00B90478" w:rsidRPr="00863986" w:rsidRDefault="00B90478" w:rsidP="00863986">
      <w:pPr>
        <w:spacing w:line="360" w:lineRule="auto"/>
        <w:ind w:right="1"/>
        <w:jc w:val="both"/>
        <w:rPr>
          <w:rFonts w:asciiTheme="majorBidi" w:hAnsiTheme="majorBidi" w:cstheme="majorBidi"/>
        </w:rPr>
      </w:pPr>
      <w:r w:rsidRPr="00863986">
        <w:rPr>
          <w:rFonts w:asciiTheme="majorBidi" w:hAnsiTheme="majorBidi" w:cstheme="majorBidi"/>
        </w:rPr>
        <w:t>Un centre E2C-NG pilote est opérationnel depuis octobre 2014. Il s</w:t>
      </w:r>
      <w:r w:rsidR="00813E40" w:rsidRPr="00863986">
        <w:rPr>
          <w:rFonts w:asciiTheme="majorBidi" w:hAnsiTheme="majorBidi" w:cstheme="majorBidi"/>
        </w:rPr>
        <w:t>’</w:t>
      </w:r>
      <w:r w:rsidRPr="00863986">
        <w:rPr>
          <w:rFonts w:asciiTheme="majorBidi" w:hAnsiTheme="majorBidi" w:cstheme="majorBidi"/>
        </w:rPr>
        <w:t>agit du Centre Batha</w:t>
      </w:r>
      <w:r w:rsidR="004A1C27" w:rsidRPr="00863986">
        <w:rPr>
          <w:rFonts w:asciiTheme="majorBidi" w:hAnsiTheme="majorBidi" w:cstheme="majorBidi"/>
        </w:rPr>
        <w:t xml:space="preserve"> </w:t>
      </w:r>
      <w:r w:rsidRPr="00863986">
        <w:rPr>
          <w:rFonts w:asciiTheme="majorBidi" w:hAnsiTheme="majorBidi" w:cstheme="majorBidi"/>
        </w:rPr>
        <w:t>à Fès et la DENF est en voie de mettre en place d</w:t>
      </w:r>
      <w:r w:rsidR="00813E40" w:rsidRPr="00863986">
        <w:rPr>
          <w:rFonts w:asciiTheme="majorBidi" w:hAnsiTheme="majorBidi" w:cstheme="majorBidi"/>
        </w:rPr>
        <w:t>’</w:t>
      </w:r>
      <w:r w:rsidRPr="00863986">
        <w:rPr>
          <w:rFonts w:asciiTheme="majorBidi" w:hAnsiTheme="majorBidi" w:cstheme="majorBidi"/>
        </w:rPr>
        <w:t>autres centres dans la perspective d</w:t>
      </w:r>
      <w:r w:rsidR="00813E40" w:rsidRPr="00863986">
        <w:rPr>
          <w:rFonts w:asciiTheme="majorBidi" w:hAnsiTheme="majorBidi" w:cstheme="majorBidi"/>
        </w:rPr>
        <w:t>’</w:t>
      </w:r>
      <w:r w:rsidRPr="00863986">
        <w:rPr>
          <w:rFonts w:asciiTheme="majorBidi" w:hAnsiTheme="majorBidi" w:cstheme="majorBidi"/>
        </w:rPr>
        <w:t>une généralisation à toutes les régions et les provinces.</w:t>
      </w:r>
      <w:r w:rsidR="00863986">
        <w:rPr>
          <w:rFonts w:asciiTheme="majorBidi" w:hAnsiTheme="majorBidi" w:cstheme="majorBidi"/>
        </w:rPr>
        <w:t xml:space="preserve"> Et des conventions de partenariat pour la mise en œuvre de l’E2C-NG sont mise en œuvre avec 13 associations ayant leur propre centre ou travaillant dans des centres d’autres partenaires (entraide nationale, centre INDH...)</w:t>
      </w:r>
    </w:p>
    <w:p w:rsidR="00B90478" w:rsidRPr="00863986" w:rsidRDefault="00B90478" w:rsidP="00B90478">
      <w:pPr>
        <w:spacing w:line="360" w:lineRule="auto"/>
        <w:ind w:right="1"/>
        <w:jc w:val="both"/>
        <w:rPr>
          <w:rFonts w:asciiTheme="majorBidi" w:hAnsiTheme="majorBidi" w:cstheme="majorBidi"/>
        </w:rPr>
      </w:pPr>
      <w:r w:rsidRPr="00863986">
        <w:rPr>
          <w:rFonts w:asciiTheme="majorBidi" w:hAnsiTheme="majorBidi" w:cstheme="majorBidi"/>
        </w:rPr>
        <w:t>Les centres E2C-NG, en tant que concept innovant, exige un ensemble de conditions pour leur bon fonctionnement, notamment :</w:t>
      </w:r>
    </w:p>
    <w:p w:rsidR="00B90478" w:rsidRPr="00863986" w:rsidRDefault="00B90478" w:rsidP="00B90478">
      <w:pPr>
        <w:numPr>
          <w:ilvl w:val="0"/>
          <w:numId w:val="3"/>
        </w:numPr>
        <w:spacing w:after="0" w:line="360" w:lineRule="auto"/>
        <w:ind w:left="714" w:hanging="357"/>
        <w:jc w:val="both"/>
        <w:rPr>
          <w:rFonts w:asciiTheme="majorBidi" w:hAnsiTheme="majorBidi" w:cstheme="majorBidi"/>
        </w:rPr>
      </w:pPr>
      <w:r w:rsidRPr="00863986">
        <w:rPr>
          <w:rFonts w:asciiTheme="majorBidi" w:hAnsiTheme="majorBidi" w:cstheme="majorBidi"/>
        </w:rPr>
        <w:t>La réglementation : régime des études, certification, passerelles d</w:t>
      </w:r>
      <w:r w:rsidR="00813E40" w:rsidRPr="00863986">
        <w:rPr>
          <w:rFonts w:asciiTheme="majorBidi" w:hAnsiTheme="majorBidi" w:cstheme="majorBidi"/>
        </w:rPr>
        <w:t>’</w:t>
      </w:r>
      <w:r w:rsidRPr="00863986">
        <w:rPr>
          <w:rFonts w:asciiTheme="majorBidi" w:hAnsiTheme="majorBidi" w:cstheme="majorBidi"/>
        </w:rPr>
        <w:t>insertion</w:t>
      </w:r>
    </w:p>
    <w:p w:rsidR="00B90478" w:rsidRPr="00863986" w:rsidRDefault="00B90478" w:rsidP="00B90478">
      <w:pPr>
        <w:numPr>
          <w:ilvl w:val="0"/>
          <w:numId w:val="3"/>
        </w:numPr>
        <w:spacing w:after="0" w:line="360" w:lineRule="auto"/>
        <w:ind w:left="714" w:hanging="357"/>
        <w:jc w:val="both"/>
        <w:rPr>
          <w:rFonts w:asciiTheme="majorBidi" w:hAnsiTheme="majorBidi" w:cstheme="majorBidi"/>
        </w:rPr>
      </w:pPr>
      <w:r w:rsidRPr="00863986">
        <w:rPr>
          <w:rFonts w:asciiTheme="majorBidi" w:hAnsiTheme="majorBidi" w:cstheme="majorBidi"/>
        </w:rPr>
        <w:t>Le renouvellement des cursus de mise à niveau et cursus de (pré)professionnalisation et développement des compétences des intervenants</w:t>
      </w:r>
    </w:p>
    <w:p w:rsidR="00B90478" w:rsidRPr="00863986" w:rsidRDefault="00B90478" w:rsidP="00B90478">
      <w:pPr>
        <w:numPr>
          <w:ilvl w:val="0"/>
          <w:numId w:val="3"/>
        </w:numPr>
        <w:spacing w:after="0" w:line="360" w:lineRule="auto"/>
        <w:ind w:left="714" w:hanging="357"/>
        <w:jc w:val="both"/>
        <w:rPr>
          <w:rFonts w:asciiTheme="majorBidi" w:hAnsiTheme="majorBidi" w:cstheme="majorBidi"/>
        </w:rPr>
      </w:pPr>
      <w:r w:rsidRPr="00863986">
        <w:rPr>
          <w:rFonts w:asciiTheme="majorBidi" w:hAnsiTheme="majorBidi" w:cstheme="majorBidi"/>
        </w:rPr>
        <w:t>La revalorisation des coûts de la scolarisation- formation (coût unitaire autour de 5000 DH)</w:t>
      </w:r>
    </w:p>
    <w:p w:rsidR="00B90478" w:rsidRPr="00863986" w:rsidRDefault="00B90478" w:rsidP="00B90478">
      <w:pPr>
        <w:numPr>
          <w:ilvl w:val="0"/>
          <w:numId w:val="3"/>
        </w:numPr>
        <w:spacing w:after="0" w:line="360" w:lineRule="auto"/>
        <w:ind w:left="714" w:hanging="357"/>
        <w:jc w:val="both"/>
        <w:rPr>
          <w:rFonts w:asciiTheme="majorBidi" w:hAnsiTheme="majorBidi" w:cstheme="majorBidi"/>
        </w:rPr>
      </w:pPr>
      <w:r w:rsidRPr="00863986">
        <w:rPr>
          <w:rFonts w:asciiTheme="majorBidi" w:hAnsiTheme="majorBidi" w:cstheme="majorBidi"/>
        </w:rPr>
        <w:t>Le partenariat multilatéral autour de la qualification et de l</w:t>
      </w:r>
      <w:r w:rsidR="00813E40" w:rsidRPr="00863986">
        <w:rPr>
          <w:rFonts w:asciiTheme="majorBidi" w:hAnsiTheme="majorBidi" w:cstheme="majorBidi"/>
        </w:rPr>
        <w:t>’</w:t>
      </w:r>
      <w:r w:rsidRPr="00863986">
        <w:rPr>
          <w:rFonts w:asciiTheme="majorBidi" w:hAnsiTheme="majorBidi" w:cstheme="majorBidi"/>
        </w:rPr>
        <w:t xml:space="preserve">insertion socioprofessionnelle des jeunes </w:t>
      </w:r>
    </w:p>
    <w:p w:rsidR="00B90478" w:rsidRPr="00863986" w:rsidRDefault="00B90478" w:rsidP="00B90478">
      <w:pPr>
        <w:spacing w:after="0" w:line="360" w:lineRule="auto"/>
        <w:jc w:val="both"/>
        <w:rPr>
          <w:rFonts w:asciiTheme="majorBidi" w:hAnsiTheme="majorBidi" w:cstheme="majorBidi"/>
        </w:rPr>
      </w:pPr>
    </w:p>
    <w:p w:rsidR="00B90478" w:rsidRPr="00863986" w:rsidRDefault="00B90478" w:rsidP="00B90478">
      <w:pPr>
        <w:spacing w:line="360" w:lineRule="auto"/>
        <w:ind w:right="1"/>
        <w:jc w:val="both"/>
        <w:rPr>
          <w:rFonts w:asciiTheme="majorBidi" w:hAnsiTheme="majorBidi" w:cstheme="majorBidi"/>
        </w:rPr>
      </w:pPr>
      <w:r w:rsidRPr="00863986">
        <w:rPr>
          <w:rFonts w:asciiTheme="majorBidi" w:eastAsia="Times New Roman" w:hAnsiTheme="majorBidi" w:cstheme="majorBidi"/>
          <w:lang w:eastAsia="fr-FR"/>
        </w:rPr>
        <w:t xml:space="preserve">Que ce soit l’E2C classique ou l’E2C-NG, l’éducation non formelle a besoin d’un appui, </w:t>
      </w:r>
      <w:r w:rsidRPr="00863986">
        <w:rPr>
          <w:rFonts w:asciiTheme="majorBidi" w:hAnsiTheme="majorBidi" w:cstheme="majorBidi"/>
        </w:rPr>
        <w:t>d</w:t>
      </w:r>
      <w:r w:rsidR="00813E40" w:rsidRPr="00863986">
        <w:rPr>
          <w:rFonts w:asciiTheme="majorBidi" w:hAnsiTheme="majorBidi" w:cstheme="majorBidi"/>
        </w:rPr>
        <w:t>’</w:t>
      </w:r>
      <w:r w:rsidRPr="00863986">
        <w:rPr>
          <w:rFonts w:asciiTheme="majorBidi" w:hAnsiTheme="majorBidi" w:cstheme="majorBidi"/>
        </w:rPr>
        <w:t>une visibilité et d</w:t>
      </w:r>
      <w:r w:rsidR="00813E40" w:rsidRPr="00863986">
        <w:rPr>
          <w:rFonts w:asciiTheme="majorBidi" w:hAnsiTheme="majorBidi" w:cstheme="majorBidi"/>
        </w:rPr>
        <w:t>’</w:t>
      </w:r>
      <w:r w:rsidRPr="00863986">
        <w:rPr>
          <w:rFonts w:asciiTheme="majorBidi" w:hAnsiTheme="majorBidi" w:cstheme="majorBidi"/>
        </w:rPr>
        <w:t>une conscientisation des décideurs politiques et des acteurs territoriaux et économiques sur l</w:t>
      </w:r>
      <w:r w:rsidR="00813E40" w:rsidRPr="00863986">
        <w:rPr>
          <w:rFonts w:asciiTheme="majorBidi" w:hAnsiTheme="majorBidi" w:cstheme="majorBidi"/>
        </w:rPr>
        <w:t>’</w:t>
      </w:r>
      <w:r w:rsidRPr="00863986">
        <w:rPr>
          <w:rFonts w:asciiTheme="majorBidi" w:hAnsiTheme="majorBidi" w:cstheme="majorBidi"/>
        </w:rPr>
        <w:t>importance, voire la nécessité de mettre en œuvre des programmes de rattrapage scolaire et de qualification professionnelle dans les zones déficitaires en offres d</w:t>
      </w:r>
      <w:r w:rsidR="00813E40" w:rsidRPr="00863986">
        <w:rPr>
          <w:rFonts w:asciiTheme="majorBidi" w:hAnsiTheme="majorBidi" w:cstheme="majorBidi"/>
        </w:rPr>
        <w:t>’</w:t>
      </w:r>
      <w:r w:rsidRPr="00863986">
        <w:rPr>
          <w:rFonts w:asciiTheme="majorBidi" w:hAnsiTheme="majorBidi" w:cstheme="majorBidi"/>
        </w:rPr>
        <w:t xml:space="preserve">éducation- formation. </w:t>
      </w:r>
    </w:p>
    <w:p w:rsidR="00B90478" w:rsidRDefault="00B90478" w:rsidP="00863986">
      <w:pPr>
        <w:spacing w:line="360" w:lineRule="auto"/>
        <w:jc w:val="both"/>
        <w:rPr>
          <w:rFonts w:asciiTheme="majorBidi" w:eastAsia="Times New Roman" w:hAnsiTheme="majorBidi" w:cstheme="majorBidi"/>
          <w:lang w:eastAsia="fr-FR"/>
        </w:rPr>
      </w:pPr>
      <w:r w:rsidRPr="00863986">
        <w:rPr>
          <w:rFonts w:asciiTheme="majorBidi" w:eastAsia="Times New Roman" w:hAnsiTheme="majorBidi" w:cstheme="majorBidi"/>
          <w:lang w:eastAsia="fr-FR"/>
        </w:rPr>
        <w:t>Comme cela figure dans les orientations de la Vison 2015-2030, cette conscientisation ne doit pas s’arrêter à convaincre ces décideurs et acteurs mais aller au-delà en les impliquant dans le financement et l’appui tangibles aux programmes de l’ENF qui appelle à une mobilisation de l’appui financier des grands établissements productifs et des Collectivités territoriales.</w:t>
      </w:r>
    </w:p>
    <w:p w:rsidR="00863986" w:rsidRPr="00863986" w:rsidRDefault="00863986" w:rsidP="00863986">
      <w:pPr>
        <w:spacing w:line="360" w:lineRule="auto"/>
        <w:ind w:right="-284"/>
        <w:jc w:val="both"/>
        <w:rPr>
          <w:rFonts w:asciiTheme="majorBidi" w:hAnsiTheme="majorBidi" w:cstheme="majorBidi"/>
        </w:rPr>
      </w:pPr>
      <w:r w:rsidRPr="00863986">
        <w:rPr>
          <w:rFonts w:asciiTheme="majorBidi" w:hAnsiTheme="majorBidi" w:cstheme="majorBidi"/>
        </w:rPr>
        <w:t>Dans la perspective de matérialiser cette démarche sur le terrain,  il existe une ambition de renforcer les capacités de la structure de l’éducation non formelle pour intégrer le concept de la formation non formelle, en vue de  développer un modèle de réseautage qui englobe les différents intervenants, notamment les entreprises, les associations œuvrant en matière de l’éducation et de l’inclusion des jeunes. Ce réseau, une fois constitué et renforcé serait en mesure de procéder au suivi sur le terrain toutes les phases : depuis l’identification de la population cible, des niches de métiers qualifiants pour assurer un environnement favorable d’éducation pour l’insertion socio- professionnelle, jusqu’à l’insertion des jeunes dans le tissu socio-économique.</w:t>
      </w:r>
    </w:p>
    <w:p w:rsidR="00B90478" w:rsidRPr="00863986" w:rsidRDefault="00B90478" w:rsidP="00B90478">
      <w:pPr>
        <w:pStyle w:val="Paragraphedeliste"/>
        <w:numPr>
          <w:ilvl w:val="0"/>
          <w:numId w:val="6"/>
        </w:numPr>
        <w:rPr>
          <w:rFonts w:asciiTheme="majorBidi" w:hAnsiTheme="majorBidi" w:cstheme="majorBidi"/>
          <w:b/>
        </w:rPr>
      </w:pPr>
      <w:r w:rsidRPr="00863986">
        <w:rPr>
          <w:rFonts w:asciiTheme="majorBidi" w:hAnsiTheme="majorBidi" w:cstheme="majorBidi"/>
          <w:b/>
        </w:rPr>
        <w:t>OBJECTIF PRINCIPAL DE LA MISSION</w:t>
      </w:r>
    </w:p>
    <w:p w:rsidR="00B90478" w:rsidRPr="00863986" w:rsidRDefault="00B90478" w:rsidP="00B90478">
      <w:pPr>
        <w:spacing w:line="360" w:lineRule="auto"/>
        <w:jc w:val="both"/>
        <w:rPr>
          <w:rFonts w:asciiTheme="majorBidi" w:eastAsia="Times New Roman" w:hAnsiTheme="majorBidi" w:cstheme="majorBidi"/>
          <w:lang w:eastAsia="fr-FR"/>
        </w:rPr>
      </w:pPr>
      <w:r w:rsidRPr="00863986">
        <w:rPr>
          <w:rFonts w:asciiTheme="majorBidi" w:hAnsiTheme="majorBidi" w:cstheme="majorBidi"/>
        </w:rPr>
        <w:t>L’objectif global de la mission est d</w:t>
      </w:r>
      <w:r w:rsidR="00813E40" w:rsidRPr="00863986">
        <w:rPr>
          <w:rFonts w:asciiTheme="majorBidi" w:hAnsiTheme="majorBidi" w:cstheme="majorBidi"/>
        </w:rPr>
        <w:t>’</w:t>
      </w:r>
      <w:r w:rsidRPr="00863986">
        <w:rPr>
          <w:rFonts w:asciiTheme="majorBidi" w:hAnsiTheme="majorBidi" w:cstheme="majorBidi"/>
        </w:rPr>
        <w:t>appuyer l</w:t>
      </w:r>
      <w:r w:rsidR="00813E40" w:rsidRPr="00863986">
        <w:rPr>
          <w:rFonts w:asciiTheme="majorBidi" w:hAnsiTheme="majorBidi" w:cstheme="majorBidi"/>
        </w:rPr>
        <w:t>’</w:t>
      </w:r>
      <w:r w:rsidRPr="00863986">
        <w:rPr>
          <w:rFonts w:asciiTheme="majorBidi" w:hAnsiTheme="majorBidi" w:cstheme="majorBidi"/>
        </w:rPr>
        <w:t>ancrage régional, provincial et local des programmes de l</w:t>
      </w:r>
      <w:r w:rsidR="00813E40" w:rsidRPr="00863986">
        <w:rPr>
          <w:rFonts w:asciiTheme="majorBidi" w:hAnsiTheme="majorBidi" w:cstheme="majorBidi"/>
        </w:rPr>
        <w:t>’</w:t>
      </w:r>
      <w:r w:rsidRPr="00863986">
        <w:rPr>
          <w:rFonts w:asciiTheme="majorBidi" w:hAnsiTheme="majorBidi" w:cstheme="majorBidi"/>
        </w:rPr>
        <w:t xml:space="preserve">ENF par un plan de de communication et </w:t>
      </w:r>
      <w:r w:rsidRPr="00863986">
        <w:rPr>
          <w:rFonts w:asciiTheme="majorBidi" w:eastAsia="Times New Roman" w:hAnsiTheme="majorBidi" w:cstheme="majorBidi"/>
          <w:lang w:eastAsia="fr-FR"/>
        </w:rPr>
        <w:t xml:space="preserve">plaidoyer auprès des acteurs régionaux, provinciaux et locaux (Conseils régionaux, conseils provinciaux et élus locaux). </w:t>
      </w:r>
    </w:p>
    <w:p w:rsidR="00B90478" w:rsidRPr="00863986" w:rsidRDefault="00B90478" w:rsidP="00B90478">
      <w:pPr>
        <w:pStyle w:val="Paragraphedeliste"/>
        <w:numPr>
          <w:ilvl w:val="0"/>
          <w:numId w:val="6"/>
        </w:numPr>
        <w:rPr>
          <w:rFonts w:asciiTheme="majorBidi" w:hAnsiTheme="majorBidi" w:cstheme="majorBidi"/>
          <w:b/>
        </w:rPr>
      </w:pPr>
      <w:r w:rsidRPr="00863986">
        <w:rPr>
          <w:rFonts w:asciiTheme="majorBidi" w:hAnsiTheme="majorBidi" w:cstheme="majorBidi"/>
          <w:b/>
        </w:rPr>
        <w:t>OBJECTIFS SPECIFIQUES</w:t>
      </w:r>
    </w:p>
    <w:p w:rsidR="00B90478" w:rsidRPr="00863986" w:rsidRDefault="00B90478" w:rsidP="00B90478">
      <w:pPr>
        <w:jc w:val="both"/>
        <w:rPr>
          <w:rFonts w:asciiTheme="majorBidi" w:hAnsiTheme="majorBidi" w:cstheme="majorBidi"/>
        </w:rPr>
      </w:pPr>
      <w:r w:rsidRPr="00863986">
        <w:rPr>
          <w:rFonts w:asciiTheme="majorBidi" w:hAnsiTheme="majorBidi" w:cstheme="majorBidi"/>
        </w:rPr>
        <w:t>Plus spécifiquement, la mission du consultant aura pour objectifs :</w:t>
      </w:r>
    </w:p>
    <w:p w:rsidR="00B90478" w:rsidRPr="00863986" w:rsidRDefault="00B90478" w:rsidP="00B90478">
      <w:pPr>
        <w:pStyle w:val="Paragraphedeliste"/>
        <w:numPr>
          <w:ilvl w:val="0"/>
          <w:numId w:val="7"/>
        </w:numPr>
        <w:jc w:val="both"/>
        <w:rPr>
          <w:rFonts w:asciiTheme="majorBidi" w:hAnsiTheme="majorBidi" w:cstheme="majorBidi"/>
        </w:rPr>
      </w:pPr>
      <w:r w:rsidRPr="00863986">
        <w:rPr>
          <w:rFonts w:asciiTheme="majorBidi" w:hAnsiTheme="majorBidi" w:cstheme="majorBidi"/>
        </w:rPr>
        <w:t xml:space="preserve">mener une action de plaidoyer auprès des Conseils régionaux, provinciaux et des élus locaux ; </w:t>
      </w:r>
    </w:p>
    <w:p w:rsidR="00B90478" w:rsidRPr="00863986" w:rsidRDefault="00B90478" w:rsidP="00863986">
      <w:pPr>
        <w:pStyle w:val="Paragraphedeliste"/>
        <w:numPr>
          <w:ilvl w:val="0"/>
          <w:numId w:val="7"/>
        </w:numPr>
        <w:jc w:val="both"/>
        <w:rPr>
          <w:rFonts w:asciiTheme="majorBidi" w:hAnsiTheme="majorBidi" w:cstheme="majorBidi"/>
        </w:rPr>
      </w:pPr>
      <w:r w:rsidRPr="00863986">
        <w:rPr>
          <w:rFonts w:asciiTheme="majorBidi" w:hAnsiTheme="majorBidi" w:cstheme="majorBidi"/>
        </w:rPr>
        <w:t xml:space="preserve">obtenir un engagement </w:t>
      </w:r>
      <w:r w:rsidR="00863986">
        <w:rPr>
          <w:rFonts w:asciiTheme="majorBidi" w:hAnsiTheme="majorBidi" w:cstheme="majorBidi"/>
        </w:rPr>
        <w:t>concret</w:t>
      </w:r>
      <w:r w:rsidRPr="00863986">
        <w:rPr>
          <w:rFonts w:asciiTheme="majorBidi" w:hAnsiTheme="majorBidi" w:cstheme="majorBidi"/>
        </w:rPr>
        <w:t xml:space="preserve"> des Conseils régionaux, provinciaux et des élus locaux via leur prédisposition à signer des conventions de partenariat pour mettre en œuvre les programmes de l</w:t>
      </w:r>
      <w:r w:rsidR="00813E40" w:rsidRPr="00863986">
        <w:rPr>
          <w:rFonts w:asciiTheme="majorBidi" w:hAnsiTheme="majorBidi" w:cstheme="majorBidi"/>
        </w:rPr>
        <w:t>’</w:t>
      </w:r>
      <w:r w:rsidRPr="00863986">
        <w:rPr>
          <w:rFonts w:asciiTheme="majorBidi" w:hAnsiTheme="majorBidi" w:cstheme="majorBidi"/>
        </w:rPr>
        <w:t>ENF au niveau de leur territoire ;</w:t>
      </w:r>
    </w:p>
    <w:p w:rsidR="00B90478" w:rsidRPr="00863986" w:rsidRDefault="00B90478" w:rsidP="00B90478">
      <w:pPr>
        <w:pStyle w:val="Paragraphedeliste"/>
        <w:numPr>
          <w:ilvl w:val="0"/>
          <w:numId w:val="7"/>
        </w:numPr>
        <w:jc w:val="both"/>
        <w:rPr>
          <w:rFonts w:asciiTheme="majorBidi" w:hAnsiTheme="majorBidi" w:cstheme="majorBidi"/>
        </w:rPr>
      </w:pPr>
      <w:r w:rsidRPr="00863986">
        <w:rPr>
          <w:rFonts w:asciiTheme="majorBidi" w:hAnsiTheme="majorBidi" w:cstheme="majorBidi"/>
        </w:rPr>
        <w:t>formaliser le dispositif de plaidoyer utilisé en vue de le réinvestir au besoin.</w:t>
      </w:r>
    </w:p>
    <w:p w:rsidR="00B90478" w:rsidRPr="00863986" w:rsidRDefault="00B90478" w:rsidP="00B90478">
      <w:pPr>
        <w:pStyle w:val="Paragraphedeliste"/>
        <w:jc w:val="both"/>
        <w:rPr>
          <w:rFonts w:asciiTheme="majorBidi" w:hAnsiTheme="majorBidi" w:cstheme="majorBidi"/>
        </w:rPr>
      </w:pPr>
    </w:p>
    <w:p w:rsidR="00B90478" w:rsidRPr="00863986" w:rsidRDefault="00B90478" w:rsidP="00B90478">
      <w:pPr>
        <w:pStyle w:val="Paragraphedeliste"/>
        <w:numPr>
          <w:ilvl w:val="0"/>
          <w:numId w:val="6"/>
        </w:numPr>
        <w:jc w:val="both"/>
        <w:rPr>
          <w:rFonts w:asciiTheme="majorBidi" w:hAnsiTheme="majorBidi" w:cstheme="majorBidi"/>
          <w:b/>
        </w:rPr>
      </w:pPr>
      <w:r w:rsidRPr="00863986">
        <w:rPr>
          <w:rFonts w:asciiTheme="majorBidi" w:hAnsiTheme="majorBidi" w:cstheme="majorBidi"/>
          <w:b/>
        </w:rPr>
        <w:t>DEMARCHE METHODOLOGIQUE</w:t>
      </w:r>
    </w:p>
    <w:p w:rsidR="00B90478" w:rsidRPr="00863986" w:rsidRDefault="00B90478" w:rsidP="00863986">
      <w:pPr>
        <w:jc w:val="both"/>
        <w:rPr>
          <w:rFonts w:asciiTheme="majorBidi" w:hAnsiTheme="majorBidi" w:cstheme="majorBidi"/>
        </w:rPr>
      </w:pPr>
      <w:r w:rsidRPr="00863986">
        <w:rPr>
          <w:rFonts w:asciiTheme="majorBidi" w:hAnsiTheme="majorBidi" w:cstheme="majorBidi"/>
        </w:rPr>
        <w:t>Le périmètre de ce plaidoyer concerne une région (</w:t>
      </w:r>
      <w:r w:rsidR="004A1C27" w:rsidRPr="00863986">
        <w:rPr>
          <w:rFonts w:asciiTheme="majorBidi" w:hAnsiTheme="majorBidi" w:cstheme="majorBidi"/>
        </w:rPr>
        <w:t>Beni Mella</w:t>
      </w:r>
      <w:r w:rsidR="00863986">
        <w:rPr>
          <w:rFonts w:asciiTheme="majorBidi" w:hAnsiTheme="majorBidi" w:cstheme="majorBidi"/>
        </w:rPr>
        <w:t>l</w:t>
      </w:r>
      <w:r w:rsidR="004A1C27" w:rsidRPr="00863986">
        <w:rPr>
          <w:rFonts w:asciiTheme="majorBidi" w:hAnsiTheme="majorBidi" w:cstheme="majorBidi"/>
        </w:rPr>
        <w:t xml:space="preserve"> Khénifra</w:t>
      </w:r>
      <w:r w:rsidRPr="00863986">
        <w:rPr>
          <w:rFonts w:asciiTheme="majorBidi" w:hAnsiTheme="majorBidi" w:cstheme="majorBidi"/>
        </w:rPr>
        <w:t>; deux Provinces relevant de cette région et 4 Communes relevant de ces provinces). Le choix de</w:t>
      </w:r>
      <w:r w:rsidR="00863986">
        <w:rPr>
          <w:rFonts w:asciiTheme="majorBidi" w:hAnsiTheme="majorBidi" w:cstheme="majorBidi"/>
        </w:rPr>
        <w:t>s</w:t>
      </w:r>
      <w:r w:rsidRPr="00863986">
        <w:rPr>
          <w:rFonts w:asciiTheme="majorBidi" w:hAnsiTheme="majorBidi" w:cstheme="majorBidi"/>
        </w:rPr>
        <w:t xml:space="preserve"> </w:t>
      </w:r>
      <w:r w:rsidR="00863986">
        <w:rPr>
          <w:rFonts w:asciiTheme="majorBidi" w:hAnsiTheme="majorBidi" w:cstheme="majorBidi"/>
        </w:rPr>
        <w:t>c</w:t>
      </w:r>
      <w:r w:rsidRPr="00863986">
        <w:rPr>
          <w:rFonts w:asciiTheme="majorBidi" w:hAnsiTheme="majorBidi" w:cstheme="majorBidi"/>
        </w:rPr>
        <w:t>ommunes doit être argumenté et dicté essentiellement par les chances de réussir l</w:t>
      </w:r>
      <w:r w:rsidR="00813E40" w:rsidRPr="00863986">
        <w:rPr>
          <w:rFonts w:asciiTheme="majorBidi" w:hAnsiTheme="majorBidi" w:cstheme="majorBidi"/>
        </w:rPr>
        <w:t>’</w:t>
      </w:r>
      <w:r w:rsidRPr="00863986">
        <w:rPr>
          <w:rFonts w:asciiTheme="majorBidi" w:hAnsiTheme="majorBidi" w:cstheme="majorBidi"/>
        </w:rPr>
        <w:t>enjeu de ce plaidoyer territorial, à savoir l</w:t>
      </w:r>
      <w:r w:rsidR="00813E40" w:rsidRPr="00863986">
        <w:rPr>
          <w:rFonts w:asciiTheme="majorBidi" w:hAnsiTheme="majorBidi" w:cstheme="majorBidi"/>
        </w:rPr>
        <w:t>’</w:t>
      </w:r>
      <w:r w:rsidRPr="00863986">
        <w:rPr>
          <w:rFonts w:asciiTheme="majorBidi" w:hAnsiTheme="majorBidi" w:cstheme="majorBidi"/>
        </w:rPr>
        <w:t>ancrage et l</w:t>
      </w:r>
      <w:r w:rsidR="00813E40" w:rsidRPr="00863986">
        <w:rPr>
          <w:rFonts w:asciiTheme="majorBidi" w:hAnsiTheme="majorBidi" w:cstheme="majorBidi"/>
        </w:rPr>
        <w:t>’</w:t>
      </w:r>
      <w:r w:rsidRPr="00863986">
        <w:rPr>
          <w:rFonts w:asciiTheme="majorBidi" w:hAnsiTheme="majorBidi" w:cstheme="majorBidi"/>
        </w:rPr>
        <w:t>implication.</w:t>
      </w:r>
    </w:p>
    <w:p w:rsidR="00B90478" w:rsidRPr="00863986" w:rsidRDefault="00B90478" w:rsidP="00B90478">
      <w:pPr>
        <w:jc w:val="both"/>
        <w:rPr>
          <w:rFonts w:asciiTheme="majorBidi" w:hAnsiTheme="majorBidi" w:cstheme="majorBidi"/>
        </w:rPr>
      </w:pPr>
      <w:r w:rsidRPr="00863986">
        <w:rPr>
          <w:rFonts w:asciiTheme="majorBidi" w:hAnsiTheme="majorBidi" w:cstheme="majorBidi"/>
        </w:rPr>
        <w:lastRenderedPageBreak/>
        <w:t>Le consultant devra mener l</w:t>
      </w:r>
      <w:r w:rsidR="00813E40" w:rsidRPr="00863986">
        <w:rPr>
          <w:rFonts w:asciiTheme="majorBidi" w:hAnsiTheme="majorBidi" w:cstheme="majorBidi"/>
        </w:rPr>
        <w:t>’</w:t>
      </w:r>
      <w:r w:rsidRPr="00863986">
        <w:rPr>
          <w:rFonts w:asciiTheme="majorBidi" w:hAnsiTheme="majorBidi" w:cstheme="majorBidi"/>
        </w:rPr>
        <w:t>opération de plaidoyer territorial suivant ces indications méthodologiques :</w:t>
      </w:r>
    </w:p>
    <w:p w:rsidR="00B90478" w:rsidRPr="00863986" w:rsidRDefault="00B90478" w:rsidP="00B90478">
      <w:pPr>
        <w:jc w:val="both"/>
        <w:rPr>
          <w:rFonts w:asciiTheme="majorBidi" w:hAnsiTheme="majorBidi" w:cstheme="majorBidi"/>
        </w:rPr>
      </w:pPr>
      <w:r w:rsidRPr="00863986">
        <w:rPr>
          <w:rFonts w:asciiTheme="majorBidi" w:hAnsiTheme="majorBidi" w:cstheme="majorBidi"/>
        </w:rPr>
        <w:t>- Présenter une note conceptuelle décrivant la démarche et l</w:t>
      </w:r>
      <w:r w:rsidR="00813E40" w:rsidRPr="00863986">
        <w:rPr>
          <w:rFonts w:asciiTheme="majorBidi" w:hAnsiTheme="majorBidi" w:cstheme="majorBidi"/>
        </w:rPr>
        <w:t>’</w:t>
      </w:r>
      <w:r w:rsidRPr="00863986">
        <w:rPr>
          <w:rFonts w:asciiTheme="majorBidi" w:hAnsiTheme="majorBidi" w:cstheme="majorBidi"/>
        </w:rPr>
        <w:t>échéancier de réalisation ainsi que les instruments à utiliser pour le plaidoyer (Ateliers, tables rondes, programme des ateliers, personnes concernées…) ;</w:t>
      </w:r>
    </w:p>
    <w:p w:rsidR="00B90478" w:rsidRPr="00863986" w:rsidRDefault="00355306" w:rsidP="00B90478">
      <w:pPr>
        <w:jc w:val="both"/>
        <w:rPr>
          <w:rFonts w:asciiTheme="majorBidi" w:hAnsiTheme="majorBidi" w:cstheme="majorBidi"/>
        </w:rPr>
      </w:pPr>
      <w:r>
        <w:rPr>
          <w:rFonts w:asciiTheme="majorBidi" w:hAnsiTheme="majorBidi" w:cstheme="majorBidi"/>
        </w:rPr>
        <w:t>- O</w:t>
      </w:r>
      <w:r w:rsidR="00B90478" w:rsidRPr="00863986">
        <w:rPr>
          <w:rFonts w:asciiTheme="majorBidi" w:hAnsiTheme="majorBidi" w:cstheme="majorBidi"/>
        </w:rPr>
        <w:t>rganiser des ateliers ou focus group avec les différents intervenants réels et potentiels dans le projet ;</w:t>
      </w:r>
    </w:p>
    <w:p w:rsidR="00B90478" w:rsidRPr="00863986" w:rsidRDefault="00355306" w:rsidP="00B90478">
      <w:pPr>
        <w:jc w:val="both"/>
        <w:rPr>
          <w:rFonts w:asciiTheme="majorBidi" w:hAnsiTheme="majorBidi" w:cstheme="majorBidi"/>
        </w:rPr>
      </w:pPr>
      <w:r>
        <w:rPr>
          <w:rFonts w:asciiTheme="majorBidi" w:hAnsiTheme="majorBidi" w:cstheme="majorBidi"/>
        </w:rPr>
        <w:t>- P</w:t>
      </w:r>
      <w:r w:rsidR="00B90478" w:rsidRPr="00863986">
        <w:rPr>
          <w:rFonts w:asciiTheme="majorBidi" w:hAnsiTheme="majorBidi" w:cstheme="majorBidi"/>
        </w:rPr>
        <w:t>réparer une convention type à signer entre les décideurs territoriaux et le MEN/DENF ;</w:t>
      </w:r>
    </w:p>
    <w:p w:rsidR="00B90478" w:rsidRPr="00863986" w:rsidRDefault="00355306" w:rsidP="00B90478">
      <w:pPr>
        <w:jc w:val="both"/>
        <w:rPr>
          <w:rFonts w:asciiTheme="majorBidi" w:hAnsiTheme="majorBidi" w:cstheme="majorBidi"/>
        </w:rPr>
      </w:pPr>
      <w:r>
        <w:rPr>
          <w:rFonts w:asciiTheme="majorBidi" w:hAnsiTheme="majorBidi" w:cstheme="majorBidi"/>
        </w:rPr>
        <w:t>- F</w:t>
      </w:r>
      <w:r w:rsidR="00B90478" w:rsidRPr="00863986">
        <w:rPr>
          <w:rFonts w:asciiTheme="majorBidi" w:hAnsiTheme="majorBidi" w:cstheme="majorBidi"/>
        </w:rPr>
        <w:t>ormaliser le dispositif utilisée pendant cette assistance technique.</w:t>
      </w:r>
    </w:p>
    <w:p w:rsidR="00B90478" w:rsidRPr="00863986" w:rsidRDefault="00355306" w:rsidP="00355306">
      <w:pPr>
        <w:spacing w:after="0" w:line="360" w:lineRule="auto"/>
        <w:contextualSpacing/>
        <w:jc w:val="both"/>
        <w:rPr>
          <w:rFonts w:asciiTheme="majorBidi" w:eastAsia="Times New Roman" w:hAnsiTheme="majorBidi" w:cstheme="majorBidi"/>
          <w:lang w:eastAsia="fr-FR"/>
        </w:rPr>
      </w:pPr>
      <w:r>
        <w:rPr>
          <w:rFonts w:asciiTheme="majorBidi" w:eastAsia="Times New Roman" w:hAnsiTheme="majorBidi" w:cstheme="majorBidi"/>
          <w:lang w:eastAsia="fr-FR"/>
        </w:rPr>
        <w:t xml:space="preserve">Pour le lancement de cette consultation </w:t>
      </w:r>
      <w:r w:rsidR="00B90478" w:rsidRPr="00863986">
        <w:rPr>
          <w:rFonts w:asciiTheme="majorBidi" w:eastAsia="Times New Roman" w:hAnsiTheme="majorBidi" w:cstheme="majorBidi"/>
          <w:lang w:eastAsia="fr-FR"/>
        </w:rPr>
        <w:t xml:space="preserve">le contractant s’engage à suivre l’approche méthodologique indiquée et : </w:t>
      </w:r>
    </w:p>
    <w:p w:rsidR="00355306" w:rsidRPr="00863986" w:rsidRDefault="00355306" w:rsidP="00355306">
      <w:pPr>
        <w:pStyle w:val="Paragraphedeliste"/>
        <w:numPr>
          <w:ilvl w:val="0"/>
          <w:numId w:val="4"/>
        </w:numPr>
        <w:spacing w:after="0" w:line="360" w:lineRule="auto"/>
        <w:jc w:val="both"/>
        <w:rPr>
          <w:rFonts w:asciiTheme="majorBidi" w:eastAsia="Times New Roman" w:hAnsiTheme="majorBidi" w:cstheme="majorBidi"/>
          <w:lang w:eastAsia="fr-FR"/>
        </w:rPr>
      </w:pPr>
      <w:r w:rsidRPr="00863986">
        <w:rPr>
          <w:rFonts w:asciiTheme="majorBidi" w:eastAsia="Times New Roman" w:hAnsiTheme="majorBidi" w:cstheme="majorBidi"/>
          <w:lang w:eastAsia="fr-FR"/>
        </w:rPr>
        <w:t xml:space="preserve">Soumettre une note méthodologique au comité de suivi de cette assistance technique </w:t>
      </w:r>
    </w:p>
    <w:p w:rsidR="00B90478" w:rsidRPr="00863986" w:rsidRDefault="00B90478" w:rsidP="004A1C27">
      <w:pPr>
        <w:pStyle w:val="Paragraphedeliste"/>
        <w:numPr>
          <w:ilvl w:val="0"/>
          <w:numId w:val="4"/>
        </w:numPr>
        <w:spacing w:after="0" w:line="360" w:lineRule="auto"/>
        <w:jc w:val="both"/>
        <w:rPr>
          <w:rFonts w:asciiTheme="majorBidi" w:eastAsia="Times New Roman" w:hAnsiTheme="majorBidi" w:cstheme="majorBidi"/>
          <w:lang w:eastAsia="fr-FR"/>
        </w:rPr>
      </w:pPr>
      <w:r w:rsidRPr="00863986">
        <w:rPr>
          <w:rFonts w:asciiTheme="majorBidi" w:eastAsia="Times New Roman" w:hAnsiTheme="majorBidi" w:cstheme="majorBidi"/>
          <w:lang w:eastAsia="fr-FR"/>
        </w:rPr>
        <w:t>Participer à une réunion de cadrage avec l’équipe éducation de la DENF</w:t>
      </w:r>
      <w:r w:rsidR="00355306">
        <w:rPr>
          <w:rFonts w:asciiTheme="majorBidi" w:eastAsia="Times New Roman" w:hAnsiTheme="majorBidi" w:cstheme="majorBidi"/>
          <w:lang w:eastAsia="fr-FR"/>
        </w:rPr>
        <w:t xml:space="preserve"> pour valider la démarche</w:t>
      </w:r>
      <w:r w:rsidRPr="00863986">
        <w:rPr>
          <w:rFonts w:asciiTheme="majorBidi" w:eastAsia="Times New Roman" w:hAnsiTheme="majorBidi" w:cstheme="majorBidi"/>
          <w:lang w:eastAsia="fr-FR"/>
        </w:rPr>
        <w:t> </w:t>
      </w:r>
      <w:r w:rsidR="00355306">
        <w:rPr>
          <w:rFonts w:asciiTheme="majorBidi" w:eastAsia="Times New Roman" w:hAnsiTheme="majorBidi" w:cstheme="majorBidi"/>
          <w:lang w:eastAsia="fr-FR"/>
        </w:rPr>
        <w:t>.</w:t>
      </w:r>
    </w:p>
    <w:p w:rsidR="00B90478" w:rsidRPr="00863986" w:rsidRDefault="00B90478" w:rsidP="00B90478">
      <w:pPr>
        <w:spacing w:after="0" w:line="360" w:lineRule="auto"/>
        <w:jc w:val="both"/>
        <w:rPr>
          <w:rFonts w:asciiTheme="majorBidi" w:eastAsia="Times New Roman" w:hAnsiTheme="majorBidi" w:cstheme="majorBidi"/>
          <w:lang w:eastAsia="fr-FR"/>
        </w:rPr>
      </w:pPr>
    </w:p>
    <w:p w:rsidR="00B90478" w:rsidRPr="00863986" w:rsidRDefault="00B90478" w:rsidP="00B90478">
      <w:pPr>
        <w:pStyle w:val="Paragraphedeliste"/>
        <w:numPr>
          <w:ilvl w:val="0"/>
          <w:numId w:val="6"/>
        </w:numPr>
        <w:rPr>
          <w:rFonts w:asciiTheme="majorBidi" w:hAnsiTheme="majorBidi" w:cstheme="majorBidi"/>
          <w:b/>
        </w:rPr>
      </w:pPr>
      <w:r w:rsidRPr="00863986">
        <w:rPr>
          <w:rFonts w:asciiTheme="majorBidi" w:hAnsiTheme="majorBidi" w:cstheme="majorBidi"/>
          <w:b/>
        </w:rPr>
        <w:t>LIVRABLES</w:t>
      </w:r>
    </w:p>
    <w:p w:rsidR="00B90478" w:rsidRPr="00863986" w:rsidRDefault="00B90478" w:rsidP="004A1C27">
      <w:pPr>
        <w:spacing w:line="360" w:lineRule="auto"/>
        <w:contextualSpacing/>
        <w:jc w:val="both"/>
        <w:rPr>
          <w:rFonts w:asciiTheme="majorBidi" w:hAnsiTheme="majorBidi" w:cstheme="majorBidi"/>
        </w:rPr>
      </w:pPr>
      <w:r w:rsidRPr="00863986">
        <w:rPr>
          <w:rFonts w:asciiTheme="majorBidi" w:hAnsiTheme="majorBidi" w:cstheme="majorBidi"/>
        </w:rPr>
        <w:t>Le paiement s</w:t>
      </w:r>
      <w:r w:rsidR="00813E40" w:rsidRPr="00863986">
        <w:rPr>
          <w:rFonts w:asciiTheme="majorBidi" w:hAnsiTheme="majorBidi" w:cstheme="majorBidi"/>
        </w:rPr>
        <w:t>’</w:t>
      </w:r>
      <w:r w:rsidRPr="00863986">
        <w:rPr>
          <w:rFonts w:asciiTheme="majorBidi" w:hAnsiTheme="majorBidi" w:cstheme="majorBidi"/>
        </w:rPr>
        <w:t>effectuera en trois temps, après étude et validation par la DENF des livrables suivants :</w:t>
      </w:r>
    </w:p>
    <w:p w:rsidR="00B90478" w:rsidRPr="00863986" w:rsidRDefault="00B90478" w:rsidP="00B90478">
      <w:pPr>
        <w:pStyle w:val="Paragraphedeliste"/>
        <w:numPr>
          <w:ilvl w:val="0"/>
          <w:numId w:val="5"/>
        </w:numPr>
        <w:spacing w:line="360" w:lineRule="auto"/>
        <w:jc w:val="both"/>
        <w:rPr>
          <w:rFonts w:asciiTheme="majorBidi" w:hAnsiTheme="majorBidi" w:cstheme="majorBidi"/>
        </w:rPr>
      </w:pPr>
      <w:r w:rsidRPr="00863986">
        <w:rPr>
          <w:rFonts w:asciiTheme="majorBidi" w:hAnsiTheme="majorBidi" w:cstheme="majorBidi"/>
        </w:rPr>
        <w:t>note de proposition de mise en œuvre du plaidoyer territorial ;</w:t>
      </w:r>
    </w:p>
    <w:p w:rsidR="00B90478" w:rsidRPr="00863986" w:rsidRDefault="00B90478" w:rsidP="00B90478">
      <w:pPr>
        <w:pStyle w:val="Paragraphedeliste"/>
        <w:numPr>
          <w:ilvl w:val="0"/>
          <w:numId w:val="5"/>
        </w:numPr>
        <w:spacing w:line="360" w:lineRule="auto"/>
        <w:jc w:val="both"/>
        <w:rPr>
          <w:rFonts w:asciiTheme="majorBidi" w:hAnsiTheme="majorBidi" w:cstheme="majorBidi"/>
        </w:rPr>
      </w:pPr>
      <w:r w:rsidRPr="00863986">
        <w:rPr>
          <w:rFonts w:asciiTheme="majorBidi" w:hAnsiTheme="majorBidi" w:cstheme="majorBidi"/>
        </w:rPr>
        <w:t>convention type et dispositif de plaidoyer ;</w:t>
      </w:r>
    </w:p>
    <w:p w:rsidR="00B90478" w:rsidRPr="00863986" w:rsidRDefault="00B90478" w:rsidP="00B90478">
      <w:pPr>
        <w:pStyle w:val="Paragraphedeliste"/>
        <w:numPr>
          <w:ilvl w:val="0"/>
          <w:numId w:val="5"/>
        </w:numPr>
        <w:spacing w:line="360" w:lineRule="auto"/>
        <w:jc w:val="both"/>
        <w:rPr>
          <w:rFonts w:asciiTheme="majorBidi" w:hAnsiTheme="majorBidi" w:cstheme="majorBidi"/>
        </w:rPr>
      </w:pPr>
      <w:r w:rsidRPr="00863986">
        <w:rPr>
          <w:rFonts w:asciiTheme="majorBidi" w:hAnsiTheme="majorBidi" w:cstheme="majorBidi"/>
        </w:rPr>
        <w:t>rapport final exhaustif  de l</w:t>
      </w:r>
      <w:r w:rsidR="00813E40" w:rsidRPr="00863986">
        <w:rPr>
          <w:rFonts w:asciiTheme="majorBidi" w:hAnsiTheme="majorBidi" w:cstheme="majorBidi"/>
        </w:rPr>
        <w:t>’</w:t>
      </w:r>
      <w:r w:rsidRPr="00863986">
        <w:rPr>
          <w:rFonts w:asciiTheme="majorBidi" w:hAnsiTheme="majorBidi" w:cstheme="majorBidi"/>
        </w:rPr>
        <w:t>étude avec les supports de plaidoyer pour le droit à l’inclusion socio-économique des jeunes.</w:t>
      </w:r>
    </w:p>
    <w:p w:rsidR="00B90478" w:rsidRPr="00863986" w:rsidRDefault="00B90478" w:rsidP="00B90478">
      <w:pPr>
        <w:pStyle w:val="Paragraphedeliste"/>
        <w:spacing w:line="360" w:lineRule="auto"/>
        <w:jc w:val="both"/>
        <w:rPr>
          <w:rFonts w:asciiTheme="majorBidi" w:hAnsiTheme="majorBidi" w:cstheme="majorBidi"/>
        </w:rPr>
      </w:pPr>
    </w:p>
    <w:p w:rsidR="00B90478" w:rsidRPr="00863986" w:rsidRDefault="00B90478" w:rsidP="00B90478">
      <w:pPr>
        <w:pStyle w:val="Paragraphedeliste"/>
        <w:numPr>
          <w:ilvl w:val="0"/>
          <w:numId w:val="6"/>
        </w:numPr>
        <w:rPr>
          <w:rFonts w:asciiTheme="majorBidi" w:hAnsiTheme="majorBidi" w:cstheme="majorBidi"/>
          <w:b/>
        </w:rPr>
      </w:pPr>
      <w:r w:rsidRPr="00863986">
        <w:rPr>
          <w:rFonts w:asciiTheme="majorBidi" w:hAnsiTheme="majorBidi" w:cstheme="majorBidi"/>
          <w:b/>
        </w:rPr>
        <w:t>DUREE DU CONTRAT</w:t>
      </w:r>
    </w:p>
    <w:p w:rsidR="00B90478" w:rsidRPr="00863986" w:rsidRDefault="00B90478" w:rsidP="0081149C">
      <w:pPr>
        <w:spacing w:line="360" w:lineRule="auto"/>
        <w:jc w:val="both"/>
        <w:rPr>
          <w:rFonts w:asciiTheme="majorBidi" w:hAnsiTheme="majorBidi" w:cstheme="majorBidi"/>
          <w:sz w:val="24"/>
          <w:szCs w:val="24"/>
        </w:rPr>
      </w:pPr>
      <w:r w:rsidRPr="00863986">
        <w:rPr>
          <w:rFonts w:asciiTheme="majorBidi" w:hAnsiTheme="majorBidi" w:cstheme="majorBidi"/>
        </w:rPr>
        <w:t xml:space="preserve">La prestation sera de </w:t>
      </w:r>
      <w:r w:rsidR="0081149C">
        <w:rPr>
          <w:rFonts w:asciiTheme="majorBidi" w:hAnsiTheme="majorBidi" w:cstheme="majorBidi"/>
        </w:rPr>
        <w:t>40</w:t>
      </w:r>
      <w:r w:rsidRPr="00863986">
        <w:rPr>
          <w:rFonts w:asciiTheme="majorBidi" w:hAnsiTheme="majorBidi" w:cstheme="majorBidi"/>
        </w:rPr>
        <w:t xml:space="preserve"> jours</w:t>
      </w:r>
      <w:r w:rsidR="0081149C">
        <w:rPr>
          <w:rFonts w:asciiTheme="majorBidi" w:hAnsiTheme="majorBidi" w:cstheme="majorBidi"/>
        </w:rPr>
        <w:t xml:space="preserve"> ouvrables</w:t>
      </w:r>
      <w:r w:rsidRPr="00863986">
        <w:rPr>
          <w:rFonts w:asciiTheme="majorBidi" w:hAnsiTheme="majorBidi" w:cstheme="majorBidi"/>
        </w:rPr>
        <w:t>.</w:t>
      </w:r>
    </w:p>
    <w:p w:rsidR="00B90478" w:rsidRPr="00863986" w:rsidRDefault="00810882" w:rsidP="00810882">
      <w:pPr>
        <w:pStyle w:val="Paragraphedeliste"/>
        <w:numPr>
          <w:ilvl w:val="0"/>
          <w:numId w:val="6"/>
        </w:numPr>
        <w:rPr>
          <w:rFonts w:asciiTheme="majorBidi" w:hAnsiTheme="majorBidi" w:cstheme="majorBidi"/>
          <w:b/>
        </w:rPr>
      </w:pPr>
      <w:r w:rsidRPr="00863986">
        <w:rPr>
          <w:rFonts w:asciiTheme="majorBidi" w:hAnsiTheme="majorBidi" w:cstheme="majorBidi"/>
          <w:b/>
        </w:rPr>
        <w:t>PROFIL DU CONSULTANT</w:t>
      </w:r>
    </w:p>
    <w:p w:rsidR="00810882" w:rsidRPr="00863986" w:rsidRDefault="00810882" w:rsidP="00355306">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color w:val="222222"/>
          <w:shd w:val="clear" w:color="auto" w:fill="FFFFFF"/>
        </w:rPr>
        <w:t xml:space="preserve">Diplôme de l'enseignement supérieur d'un niveau BAC + 4 minimum </w:t>
      </w:r>
      <w:r w:rsidRPr="00863986">
        <w:rPr>
          <w:rFonts w:asciiTheme="majorBidi" w:hAnsiTheme="majorBidi" w:cstheme="majorBidi"/>
        </w:rPr>
        <w:t>en sciences de l’éducation, sciences sociales ou communication.</w:t>
      </w:r>
    </w:p>
    <w:p w:rsidR="00810882" w:rsidRPr="00863986" w:rsidRDefault="00810882" w:rsidP="00355306">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t>Cinq (5) ans au moins d’expérience professionnelle générale.</w:t>
      </w:r>
    </w:p>
    <w:p w:rsidR="00810882" w:rsidRPr="00863986" w:rsidRDefault="00810882" w:rsidP="00355306">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t>Trois ans (3) d’expérience dans le domaine de la communication, du plaidoyer ou de la mobilisation.</w:t>
      </w:r>
    </w:p>
    <w:p w:rsidR="00810882" w:rsidRPr="00863986" w:rsidRDefault="00810882" w:rsidP="00355306">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t>Expérience souhaitable dans l’élaboration ou la production de matériel de sensibilisation/promotion sur supports divers.</w:t>
      </w:r>
    </w:p>
    <w:p w:rsidR="00810882" w:rsidRPr="00863986" w:rsidRDefault="00810882" w:rsidP="00355306">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t>Maîtrise souhaitable de la problématique du phénomène de la marginalisation par rapport à l’éducation.</w:t>
      </w:r>
    </w:p>
    <w:p w:rsidR="00E538A2" w:rsidRPr="00863986" w:rsidRDefault="00E538A2" w:rsidP="00355306">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t>Maîtrise de l’arabe.</w:t>
      </w:r>
    </w:p>
    <w:p w:rsidR="00810882" w:rsidRPr="00863986" w:rsidRDefault="00E538A2" w:rsidP="00810882">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lastRenderedPageBreak/>
        <w:t>M</w:t>
      </w:r>
      <w:r w:rsidR="00810882" w:rsidRPr="00863986">
        <w:rPr>
          <w:rFonts w:asciiTheme="majorBidi" w:hAnsiTheme="majorBidi" w:cstheme="majorBidi"/>
        </w:rPr>
        <w:t>aîtrise du français.</w:t>
      </w:r>
    </w:p>
    <w:p w:rsidR="00810882" w:rsidRPr="00863986" w:rsidRDefault="00810882" w:rsidP="00810882">
      <w:pPr>
        <w:pStyle w:val="Paragraphedeliste"/>
        <w:numPr>
          <w:ilvl w:val="0"/>
          <w:numId w:val="6"/>
        </w:numPr>
        <w:rPr>
          <w:rFonts w:asciiTheme="majorBidi" w:hAnsiTheme="majorBidi" w:cstheme="majorBidi"/>
          <w:b/>
        </w:rPr>
      </w:pPr>
      <w:r w:rsidRPr="00863986">
        <w:rPr>
          <w:rFonts w:asciiTheme="majorBidi" w:hAnsiTheme="majorBidi" w:cstheme="majorBidi"/>
          <w:b/>
        </w:rPr>
        <w:t>DEPOT DE DOSSIER</w:t>
      </w:r>
    </w:p>
    <w:p w:rsidR="00810882" w:rsidRPr="00863986" w:rsidRDefault="002E00C5" w:rsidP="002E00C5">
      <w:pPr>
        <w:spacing w:before="80" w:after="120" w:line="240" w:lineRule="auto"/>
        <w:jc w:val="both"/>
        <w:rPr>
          <w:rFonts w:asciiTheme="majorBidi" w:hAnsiTheme="majorBidi" w:cstheme="majorBidi"/>
        </w:rPr>
      </w:pPr>
      <w:r w:rsidRPr="00863986">
        <w:rPr>
          <w:rFonts w:asciiTheme="majorBidi" w:hAnsiTheme="majorBidi" w:cstheme="majorBidi"/>
        </w:rPr>
        <w:t>Les candidats intéressés sont invités à déposer leur dossier de candidature comprenant :</w:t>
      </w:r>
    </w:p>
    <w:p w:rsidR="002E00C5" w:rsidRPr="00863986" w:rsidRDefault="002E00C5" w:rsidP="00355306">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t>CV</w:t>
      </w:r>
      <w:r w:rsidR="00355306">
        <w:rPr>
          <w:rFonts w:asciiTheme="majorBidi" w:hAnsiTheme="majorBidi" w:cstheme="majorBidi"/>
        </w:rPr>
        <w:t xml:space="preserve"> et documents et attestations confirmant l’expérience</w:t>
      </w:r>
    </w:p>
    <w:p w:rsidR="002E00C5" w:rsidRPr="00863986" w:rsidRDefault="002E00C5" w:rsidP="002E00C5">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t>Note méthodologique et échéancier de réalisation</w:t>
      </w:r>
    </w:p>
    <w:p w:rsidR="002E00C5" w:rsidRPr="00863986" w:rsidRDefault="002E00C5" w:rsidP="002E00C5">
      <w:pPr>
        <w:numPr>
          <w:ilvl w:val="0"/>
          <w:numId w:val="8"/>
        </w:numPr>
        <w:spacing w:before="80" w:after="120" w:line="240" w:lineRule="auto"/>
        <w:jc w:val="both"/>
        <w:rPr>
          <w:rFonts w:asciiTheme="majorBidi" w:hAnsiTheme="majorBidi" w:cstheme="majorBidi"/>
        </w:rPr>
      </w:pPr>
      <w:r w:rsidRPr="00863986">
        <w:rPr>
          <w:rFonts w:asciiTheme="majorBidi" w:hAnsiTheme="majorBidi" w:cstheme="majorBidi"/>
        </w:rPr>
        <w:t>Off</w:t>
      </w:r>
      <w:r w:rsidR="00A5161D" w:rsidRPr="00863986">
        <w:rPr>
          <w:rFonts w:asciiTheme="majorBidi" w:hAnsiTheme="majorBidi" w:cstheme="majorBidi"/>
        </w:rPr>
        <w:t>r</w:t>
      </w:r>
      <w:r w:rsidRPr="00863986">
        <w:rPr>
          <w:rFonts w:asciiTheme="majorBidi" w:hAnsiTheme="majorBidi" w:cstheme="majorBidi"/>
        </w:rPr>
        <w:t>e financière</w:t>
      </w:r>
    </w:p>
    <w:p w:rsidR="00810882" w:rsidRPr="00355306" w:rsidRDefault="00355306" w:rsidP="004309BB">
      <w:pPr>
        <w:ind w:left="360"/>
        <w:rPr>
          <w:rFonts w:asciiTheme="majorBidi" w:hAnsiTheme="majorBidi" w:cstheme="majorBidi"/>
          <w:b/>
        </w:rPr>
      </w:pPr>
      <w:r w:rsidRPr="00355306">
        <w:rPr>
          <w:rFonts w:asciiTheme="majorBidi" w:hAnsiTheme="majorBidi" w:cstheme="majorBidi"/>
          <w:b/>
        </w:rPr>
        <w:t xml:space="preserve">Au siège de la Direction de l’éducation non formelle sis à 31 angle rue Oued Fès avenue Abtal Agdal Rabat avant </w:t>
      </w:r>
      <w:r w:rsidR="0081149C">
        <w:rPr>
          <w:rFonts w:asciiTheme="majorBidi" w:hAnsiTheme="majorBidi" w:cstheme="majorBidi"/>
          <w:b/>
        </w:rPr>
        <w:t xml:space="preserve">le </w:t>
      </w:r>
      <w:r w:rsidR="004309BB">
        <w:rPr>
          <w:rFonts w:asciiTheme="majorBidi" w:hAnsiTheme="majorBidi" w:cstheme="majorBidi"/>
          <w:b/>
        </w:rPr>
        <w:t>29 s</w:t>
      </w:r>
      <w:r w:rsidR="0081149C">
        <w:rPr>
          <w:rFonts w:asciiTheme="majorBidi" w:hAnsiTheme="majorBidi" w:cstheme="majorBidi"/>
          <w:b/>
        </w:rPr>
        <w:t xml:space="preserve">eptembre 2017 à </w:t>
      </w:r>
      <w:r w:rsidRPr="00355306">
        <w:rPr>
          <w:rFonts w:asciiTheme="majorBidi" w:hAnsiTheme="majorBidi" w:cstheme="majorBidi"/>
          <w:b/>
        </w:rPr>
        <w:t xml:space="preserve"> 16 :</w:t>
      </w:r>
      <w:r w:rsidR="0081149C">
        <w:rPr>
          <w:rFonts w:asciiTheme="majorBidi" w:hAnsiTheme="majorBidi" w:cstheme="majorBidi"/>
          <w:b/>
        </w:rPr>
        <w:t>3</w:t>
      </w:r>
      <w:r w:rsidRPr="00355306">
        <w:rPr>
          <w:rFonts w:asciiTheme="majorBidi" w:hAnsiTheme="majorBidi" w:cstheme="majorBidi"/>
          <w:b/>
        </w:rPr>
        <w:t>0</w:t>
      </w:r>
    </w:p>
    <w:p w:rsidR="00B90478" w:rsidRPr="00863986" w:rsidRDefault="00B90478" w:rsidP="00B90478">
      <w:pPr>
        <w:rPr>
          <w:rFonts w:asciiTheme="majorBidi" w:hAnsiTheme="majorBidi" w:cstheme="majorBidi"/>
        </w:rPr>
      </w:pPr>
    </w:p>
    <w:p w:rsidR="006E3BCD" w:rsidRPr="00863986" w:rsidRDefault="00AD7ADE">
      <w:pPr>
        <w:rPr>
          <w:rFonts w:asciiTheme="majorBidi" w:hAnsiTheme="majorBidi" w:cstheme="majorBidi"/>
        </w:rPr>
      </w:pPr>
    </w:p>
    <w:sectPr w:rsidR="006E3BCD" w:rsidRPr="00863986" w:rsidSect="009C7366">
      <w:headerReference w:type="default" r:id="rId9"/>
      <w:footerReference w:type="default" r:id="rId10"/>
      <w:pgSz w:w="11906" w:h="16838"/>
      <w:pgMar w:top="156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DE" w:rsidRDefault="00AD7ADE" w:rsidP="00CC3573">
      <w:pPr>
        <w:spacing w:after="0" w:line="240" w:lineRule="auto"/>
      </w:pPr>
      <w:r>
        <w:separator/>
      </w:r>
    </w:p>
  </w:endnote>
  <w:endnote w:type="continuationSeparator" w:id="0">
    <w:p w:rsidR="00AD7ADE" w:rsidRDefault="00AD7ADE" w:rsidP="00CC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57407"/>
      <w:docPartObj>
        <w:docPartGallery w:val="Page Numbers (Bottom of Page)"/>
        <w:docPartUnique/>
      </w:docPartObj>
    </w:sdtPr>
    <w:sdtEndPr/>
    <w:sdtContent>
      <w:p w:rsidR="00761FD5" w:rsidRDefault="00813E40">
        <w:pPr>
          <w:pStyle w:val="Pieddepage"/>
          <w:jc w:val="right"/>
        </w:pPr>
        <w:r w:rsidRPr="009C7366">
          <w:rPr>
            <w:noProof/>
            <w:lang w:eastAsia="fr-FR"/>
          </w:rPr>
          <w:drawing>
            <wp:inline distT="0" distB="0" distL="0" distR="0">
              <wp:extent cx="6153113" cy="161925"/>
              <wp:effectExtent l="19050" t="0" r="37" b="0"/>
              <wp:docPr id="10" name="Image 15"/>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116" cy="161872"/>
                      </a:xfrm>
                      <a:prstGeom prst="rect">
                        <a:avLst/>
                      </a:prstGeom>
                      <a:noFill/>
                      <a:ln>
                        <a:noFill/>
                      </a:ln>
                    </pic:spPr>
                  </pic:pic>
                </a:graphicData>
              </a:graphic>
            </wp:inline>
          </w:drawing>
        </w:r>
        <w:r w:rsidR="00B11044">
          <w:fldChar w:fldCharType="begin"/>
        </w:r>
        <w:r>
          <w:instrText xml:space="preserve"> PAGE   \* MERGEFORMAT </w:instrText>
        </w:r>
        <w:r w:rsidR="00B11044">
          <w:fldChar w:fldCharType="separate"/>
        </w:r>
        <w:r w:rsidR="00467375">
          <w:rPr>
            <w:noProof/>
          </w:rPr>
          <w:t>2</w:t>
        </w:r>
        <w:r w:rsidR="00B1104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DE" w:rsidRDefault="00AD7ADE" w:rsidP="00CC3573">
      <w:pPr>
        <w:spacing w:after="0" w:line="240" w:lineRule="auto"/>
      </w:pPr>
      <w:r>
        <w:separator/>
      </w:r>
    </w:p>
  </w:footnote>
  <w:footnote w:type="continuationSeparator" w:id="0">
    <w:p w:rsidR="00AD7ADE" w:rsidRDefault="00AD7ADE" w:rsidP="00CC3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45196"/>
      <w:docPartObj>
        <w:docPartGallery w:val="Page Numbers (Top of Page)"/>
        <w:docPartUnique/>
      </w:docPartObj>
    </w:sdtPr>
    <w:sdtEndPr/>
    <w:sdtContent>
      <w:p w:rsidR="00B11896" w:rsidRDefault="00B11044">
        <w:pPr>
          <w:pStyle w:val="En-tte"/>
          <w:jc w:val="right"/>
        </w:pPr>
        <w:r>
          <w:fldChar w:fldCharType="begin"/>
        </w:r>
        <w:r w:rsidR="00813E40">
          <w:instrText xml:space="preserve"> PAGE   \* MERGEFORMAT </w:instrText>
        </w:r>
        <w:r>
          <w:fldChar w:fldCharType="separate"/>
        </w:r>
        <w:r w:rsidR="00467375">
          <w:rPr>
            <w:noProof/>
          </w:rPr>
          <w:t>2</w:t>
        </w:r>
        <w:r>
          <w:rPr>
            <w:noProof/>
          </w:rPr>
          <w:fldChar w:fldCharType="end"/>
        </w:r>
      </w:p>
    </w:sdtContent>
  </w:sdt>
  <w:p w:rsidR="00B11896" w:rsidRDefault="00AD7A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1E62"/>
    <w:multiLevelType w:val="hybridMultilevel"/>
    <w:tmpl w:val="DB7E0E54"/>
    <w:lvl w:ilvl="0" w:tplc="6CE883AC">
      <w:start w:val="460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0F5997"/>
    <w:multiLevelType w:val="hybridMultilevel"/>
    <w:tmpl w:val="F3328606"/>
    <w:lvl w:ilvl="0" w:tplc="040C000F">
      <w:start w:val="1"/>
      <w:numFmt w:val="decimal"/>
      <w:lvlText w:val="%1."/>
      <w:lvlJc w:val="left"/>
      <w:pPr>
        <w:ind w:left="720" w:hanging="360"/>
      </w:pPr>
    </w:lvl>
    <w:lvl w:ilvl="1" w:tplc="FBFCB5F8">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A02A0B"/>
    <w:multiLevelType w:val="hybridMultilevel"/>
    <w:tmpl w:val="34120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50360"/>
    <w:multiLevelType w:val="hybridMultilevel"/>
    <w:tmpl w:val="74F676E6"/>
    <w:lvl w:ilvl="0" w:tplc="E9029D56">
      <w:start w:val="1"/>
      <w:numFmt w:val="bullet"/>
      <w:lvlText w:val="•"/>
      <w:lvlJc w:val="left"/>
      <w:pPr>
        <w:tabs>
          <w:tab w:val="num" w:pos="720"/>
        </w:tabs>
        <w:ind w:left="720" w:hanging="360"/>
      </w:pPr>
      <w:rPr>
        <w:rFonts w:ascii="Arial" w:hAnsi="Arial" w:hint="default"/>
      </w:rPr>
    </w:lvl>
    <w:lvl w:ilvl="1" w:tplc="995AB090" w:tentative="1">
      <w:start w:val="1"/>
      <w:numFmt w:val="bullet"/>
      <w:lvlText w:val="•"/>
      <w:lvlJc w:val="left"/>
      <w:pPr>
        <w:tabs>
          <w:tab w:val="num" w:pos="1440"/>
        </w:tabs>
        <w:ind w:left="1440" w:hanging="360"/>
      </w:pPr>
      <w:rPr>
        <w:rFonts w:ascii="Arial" w:hAnsi="Arial" w:hint="default"/>
      </w:rPr>
    </w:lvl>
    <w:lvl w:ilvl="2" w:tplc="1420757C" w:tentative="1">
      <w:start w:val="1"/>
      <w:numFmt w:val="bullet"/>
      <w:lvlText w:val="•"/>
      <w:lvlJc w:val="left"/>
      <w:pPr>
        <w:tabs>
          <w:tab w:val="num" w:pos="2160"/>
        </w:tabs>
        <w:ind w:left="2160" w:hanging="360"/>
      </w:pPr>
      <w:rPr>
        <w:rFonts w:ascii="Arial" w:hAnsi="Arial" w:hint="default"/>
      </w:rPr>
    </w:lvl>
    <w:lvl w:ilvl="3" w:tplc="80A486DE" w:tentative="1">
      <w:start w:val="1"/>
      <w:numFmt w:val="bullet"/>
      <w:lvlText w:val="•"/>
      <w:lvlJc w:val="left"/>
      <w:pPr>
        <w:tabs>
          <w:tab w:val="num" w:pos="2880"/>
        </w:tabs>
        <w:ind w:left="2880" w:hanging="360"/>
      </w:pPr>
      <w:rPr>
        <w:rFonts w:ascii="Arial" w:hAnsi="Arial" w:hint="default"/>
      </w:rPr>
    </w:lvl>
    <w:lvl w:ilvl="4" w:tplc="641E283A" w:tentative="1">
      <w:start w:val="1"/>
      <w:numFmt w:val="bullet"/>
      <w:lvlText w:val="•"/>
      <w:lvlJc w:val="left"/>
      <w:pPr>
        <w:tabs>
          <w:tab w:val="num" w:pos="3600"/>
        </w:tabs>
        <w:ind w:left="3600" w:hanging="360"/>
      </w:pPr>
      <w:rPr>
        <w:rFonts w:ascii="Arial" w:hAnsi="Arial" w:hint="default"/>
      </w:rPr>
    </w:lvl>
    <w:lvl w:ilvl="5" w:tplc="87DEDC5A" w:tentative="1">
      <w:start w:val="1"/>
      <w:numFmt w:val="bullet"/>
      <w:lvlText w:val="•"/>
      <w:lvlJc w:val="left"/>
      <w:pPr>
        <w:tabs>
          <w:tab w:val="num" w:pos="4320"/>
        </w:tabs>
        <w:ind w:left="4320" w:hanging="360"/>
      </w:pPr>
      <w:rPr>
        <w:rFonts w:ascii="Arial" w:hAnsi="Arial" w:hint="default"/>
      </w:rPr>
    </w:lvl>
    <w:lvl w:ilvl="6" w:tplc="286292E2" w:tentative="1">
      <w:start w:val="1"/>
      <w:numFmt w:val="bullet"/>
      <w:lvlText w:val="•"/>
      <w:lvlJc w:val="left"/>
      <w:pPr>
        <w:tabs>
          <w:tab w:val="num" w:pos="5040"/>
        </w:tabs>
        <w:ind w:left="5040" w:hanging="360"/>
      </w:pPr>
      <w:rPr>
        <w:rFonts w:ascii="Arial" w:hAnsi="Arial" w:hint="default"/>
      </w:rPr>
    </w:lvl>
    <w:lvl w:ilvl="7" w:tplc="6CB27208" w:tentative="1">
      <w:start w:val="1"/>
      <w:numFmt w:val="bullet"/>
      <w:lvlText w:val="•"/>
      <w:lvlJc w:val="left"/>
      <w:pPr>
        <w:tabs>
          <w:tab w:val="num" w:pos="5760"/>
        </w:tabs>
        <w:ind w:left="5760" w:hanging="360"/>
      </w:pPr>
      <w:rPr>
        <w:rFonts w:ascii="Arial" w:hAnsi="Arial" w:hint="default"/>
      </w:rPr>
    </w:lvl>
    <w:lvl w:ilvl="8" w:tplc="FC6AF3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991E73"/>
    <w:multiLevelType w:val="hybridMultilevel"/>
    <w:tmpl w:val="DF206668"/>
    <w:lvl w:ilvl="0" w:tplc="3B0A74D0">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C5280D"/>
    <w:multiLevelType w:val="hybridMultilevel"/>
    <w:tmpl w:val="4DA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511"/>
    <w:multiLevelType w:val="hybridMultilevel"/>
    <w:tmpl w:val="E23CA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867664"/>
    <w:multiLevelType w:val="hybridMultilevel"/>
    <w:tmpl w:val="6F58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78"/>
    <w:rsid w:val="0004712C"/>
    <w:rsid w:val="001875BD"/>
    <w:rsid w:val="00261E68"/>
    <w:rsid w:val="002E00C5"/>
    <w:rsid w:val="00334678"/>
    <w:rsid w:val="00355306"/>
    <w:rsid w:val="004309BB"/>
    <w:rsid w:val="00462C37"/>
    <w:rsid w:val="00467375"/>
    <w:rsid w:val="004A1C27"/>
    <w:rsid w:val="005C53B7"/>
    <w:rsid w:val="005F1C60"/>
    <w:rsid w:val="006411C8"/>
    <w:rsid w:val="00754EA7"/>
    <w:rsid w:val="007B178F"/>
    <w:rsid w:val="007B6A99"/>
    <w:rsid w:val="007F01B3"/>
    <w:rsid w:val="00810882"/>
    <w:rsid w:val="0081149C"/>
    <w:rsid w:val="00813E40"/>
    <w:rsid w:val="00863986"/>
    <w:rsid w:val="00921FC1"/>
    <w:rsid w:val="009D67A9"/>
    <w:rsid w:val="00A5161D"/>
    <w:rsid w:val="00A62CCB"/>
    <w:rsid w:val="00AC67B4"/>
    <w:rsid w:val="00AD7ADE"/>
    <w:rsid w:val="00B11044"/>
    <w:rsid w:val="00B90478"/>
    <w:rsid w:val="00CC3573"/>
    <w:rsid w:val="00CE3A41"/>
    <w:rsid w:val="00CF529E"/>
    <w:rsid w:val="00D67E2A"/>
    <w:rsid w:val="00D963C6"/>
    <w:rsid w:val="00E538A2"/>
    <w:rsid w:val="00ED267B"/>
    <w:rsid w:val="00FE7F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F2C7D-CBE8-4DB2-B100-B904471D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bered list"/>
    <w:basedOn w:val="Normal"/>
    <w:link w:val="ParagraphedelisteCar"/>
    <w:uiPriority w:val="34"/>
    <w:qFormat/>
    <w:rsid w:val="00B90478"/>
    <w:pPr>
      <w:ind w:left="720"/>
      <w:contextualSpacing/>
    </w:pPr>
  </w:style>
  <w:style w:type="character" w:customStyle="1" w:styleId="ParagraphedelisteCar">
    <w:name w:val="Paragraphe de liste Car"/>
    <w:aliases w:val="Numbered list Car"/>
    <w:basedOn w:val="Policepardfaut"/>
    <w:link w:val="Paragraphedeliste"/>
    <w:uiPriority w:val="34"/>
    <w:rsid w:val="00B90478"/>
  </w:style>
  <w:style w:type="paragraph" w:styleId="En-tte">
    <w:name w:val="header"/>
    <w:basedOn w:val="Normal"/>
    <w:link w:val="En-tteCar"/>
    <w:uiPriority w:val="99"/>
    <w:unhideWhenUsed/>
    <w:rsid w:val="00B90478"/>
    <w:pPr>
      <w:tabs>
        <w:tab w:val="center" w:pos="4536"/>
        <w:tab w:val="right" w:pos="9072"/>
      </w:tabs>
      <w:spacing w:after="0" w:line="240" w:lineRule="auto"/>
    </w:pPr>
  </w:style>
  <w:style w:type="character" w:customStyle="1" w:styleId="En-tteCar">
    <w:name w:val="En-tête Car"/>
    <w:basedOn w:val="Policepardfaut"/>
    <w:link w:val="En-tte"/>
    <w:uiPriority w:val="99"/>
    <w:rsid w:val="00B90478"/>
  </w:style>
  <w:style w:type="paragraph" w:styleId="Pieddepage">
    <w:name w:val="footer"/>
    <w:basedOn w:val="Normal"/>
    <w:link w:val="PieddepageCar"/>
    <w:uiPriority w:val="99"/>
    <w:unhideWhenUsed/>
    <w:rsid w:val="00B9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478"/>
  </w:style>
  <w:style w:type="paragraph" w:styleId="Textedebulles">
    <w:name w:val="Balloon Text"/>
    <w:basedOn w:val="Normal"/>
    <w:link w:val="TextedebullesCar"/>
    <w:uiPriority w:val="99"/>
    <w:semiHidden/>
    <w:unhideWhenUsed/>
    <w:rsid w:val="00B90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CCF10-E3AD-463D-966A-58537D6C591B}"/>
</file>

<file path=customXml/itemProps2.xml><?xml version="1.0" encoding="utf-8"?>
<ds:datastoreItem xmlns:ds="http://schemas.openxmlformats.org/officeDocument/2006/customXml" ds:itemID="{DB58455E-5365-4420-9B2D-9684652360EE}"/>
</file>

<file path=customXml/itemProps3.xml><?xml version="1.0" encoding="utf-8"?>
<ds:datastoreItem xmlns:ds="http://schemas.openxmlformats.org/officeDocument/2006/customXml" ds:itemID="{88082B8F-FE4F-406F-9B36-8CB57396FCFF}"/>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7917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AAMOURI ABDELAAZIZ</cp:lastModifiedBy>
  <cp:revision>2</cp:revision>
  <cp:lastPrinted>2017-09-06T11:42:00Z</cp:lastPrinted>
  <dcterms:created xsi:type="dcterms:W3CDTF">2017-09-12T09:45:00Z</dcterms:created>
  <dcterms:modified xsi:type="dcterms:W3CDTF">2017-09-12T09:45:00Z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